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28B52" w14:textId="1686AC0B" w:rsidR="004F429A" w:rsidRPr="00C71DF3" w:rsidRDefault="009C6FFB" w:rsidP="009E635D">
      <w:pPr>
        <w:pStyle w:val="Body"/>
        <w:jc w:val="center"/>
        <w:rPr>
          <w:rFonts w:asciiTheme="minorHAnsi" w:eastAsia="Times New Roman" w:hAnsiTheme="minorHAnsi" w:cs="Times New Roman"/>
          <w:b/>
          <w:bCs/>
          <w:sz w:val="28"/>
          <w:szCs w:val="28"/>
          <w:u w:val="single"/>
        </w:rPr>
      </w:pPr>
      <w:r w:rsidRPr="00C71DF3">
        <w:rPr>
          <w:rFonts w:asciiTheme="minorHAnsi" w:hAnsiTheme="minorHAnsi" w:cs="Times New Roman"/>
          <w:b/>
          <w:bCs/>
          <w:sz w:val="28"/>
          <w:szCs w:val="28"/>
          <w:u w:val="single"/>
        </w:rPr>
        <w:t>Checklist for Making Use of Special Masters</w:t>
      </w:r>
      <w:r w:rsidR="009E635D">
        <w:rPr>
          <w:rFonts w:asciiTheme="minorHAnsi" w:hAnsiTheme="minorHAnsi" w:cs="Times New Roman" w:hint="cs"/>
          <w:b/>
          <w:bCs/>
          <w:sz w:val="28"/>
          <w:szCs w:val="28"/>
          <w:u w:val="single"/>
        </w:rPr>
        <w:t> </w:t>
      </w:r>
      <w:r w:rsidRPr="00C71DF3">
        <w:rPr>
          <w:rFonts w:asciiTheme="minorHAnsi" w:hAnsiTheme="minorHAnsi" w:cs="Times New Roman"/>
          <w:b/>
          <w:bCs/>
          <w:sz w:val="28"/>
          <w:szCs w:val="28"/>
          <w:u w:val="single"/>
        </w:rPr>
        <w:t>To</w:t>
      </w:r>
      <w:r w:rsidR="009E635D">
        <w:rPr>
          <w:rFonts w:asciiTheme="minorHAnsi" w:hAnsiTheme="minorHAnsi" w:cs="Times New Roman" w:hint="cs"/>
          <w:b/>
          <w:bCs/>
          <w:sz w:val="28"/>
          <w:szCs w:val="28"/>
          <w:u w:val="single"/>
        </w:rPr>
        <w:t> </w:t>
      </w:r>
      <w:r w:rsidR="009E635D">
        <w:rPr>
          <w:rFonts w:asciiTheme="minorHAnsi" w:hAnsiTheme="minorHAnsi" w:cs="Times New Roman"/>
          <w:b/>
          <w:bCs/>
          <w:sz w:val="28"/>
          <w:szCs w:val="28"/>
          <w:u w:val="single"/>
        </w:rPr>
        <w:t xml:space="preserve">Help </w:t>
      </w:r>
      <w:r w:rsidRPr="00C71DF3">
        <w:rPr>
          <w:rFonts w:asciiTheme="minorHAnsi" w:hAnsiTheme="minorHAnsi" w:cs="Times New Roman"/>
          <w:b/>
          <w:bCs/>
          <w:sz w:val="28"/>
          <w:szCs w:val="28"/>
          <w:u w:val="single"/>
        </w:rPr>
        <w:t>Deal</w:t>
      </w:r>
      <w:r w:rsidR="009E635D">
        <w:rPr>
          <w:rFonts w:asciiTheme="minorHAnsi" w:hAnsiTheme="minorHAnsi" w:cs="Times New Roman" w:hint="cs"/>
          <w:b/>
          <w:bCs/>
          <w:sz w:val="28"/>
          <w:szCs w:val="28"/>
          <w:u w:val="single"/>
        </w:rPr>
        <w:t> </w:t>
      </w:r>
      <w:r w:rsidRPr="00C71DF3">
        <w:rPr>
          <w:rFonts w:asciiTheme="minorHAnsi" w:hAnsiTheme="minorHAnsi" w:cs="Times New Roman"/>
          <w:b/>
          <w:bCs/>
          <w:sz w:val="28"/>
          <w:szCs w:val="28"/>
          <w:u w:val="single"/>
        </w:rPr>
        <w:t>with</w:t>
      </w:r>
      <w:r w:rsidR="009E635D">
        <w:rPr>
          <w:rFonts w:asciiTheme="minorHAnsi" w:hAnsiTheme="minorHAnsi" w:cs="Times New Roman" w:hint="cs"/>
          <w:b/>
          <w:bCs/>
          <w:sz w:val="28"/>
          <w:szCs w:val="28"/>
          <w:u w:val="single"/>
        </w:rPr>
        <w:t> </w:t>
      </w:r>
      <w:r w:rsidRPr="00C71DF3">
        <w:rPr>
          <w:rFonts w:asciiTheme="minorHAnsi" w:hAnsiTheme="minorHAnsi" w:cs="Times New Roman"/>
          <w:b/>
          <w:bCs/>
          <w:sz w:val="28"/>
          <w:szCs w:val="28"/>
          <w:u w:val="single"/>
        </w:rPr>
        <w:t>the</w:t>
      </w:r>
      <w:r w:rsidR="009E635D">
        <w:rPr>
          <w:rFonts w:asciiTheme="minorHAnsi" w:hAnsiTheme="minorHAnsi" w:cs="Times New Roman" w:hint="cs"/>
          <w:b/>
          <w:bCs/>
          <w:sz w:val="28"/>
          <w:szCs w:val="28"/>
          <w:u w:val="single"/>
        </w:rPr>
        <w:t> </w:t>
      </w:r>
      <w:r w:rsidRPr="00C71DF3">
        <w:rPr>
          <w:rFonts w:asciiTheme="minorHAnsi" w:hAnsiTheme="minorHAnsi" w:cs="Times New Roman"/>
          <w:b/>
          <w:bCs/>
          <w:sz w:val="28"/>
          <w:szCs w:val="28"/>
          <w:u w:val="single"/>
        </w:rPr>
        <w:t>New</w:t>
      </w:r>
      <w:r w:rsidR="009E635D">
        <w:rPr>
          <w:rFonts w:asciiTheme="minorHAnsi" w:hAnsiTheme="minorHAnsi" w:cs="Times New Roman" w:hint="cs"/>
          <w:b/>
          <w:bCs/>
          <w:sz w:val="28"/>
          <w:szCs w:val="28"/>
          <w:u w:val="single"/>
        </w:rPr>
        <w:t> </w:t>
      </w:r>
      <w:r w:rsidRPr="00C71DF3">
        <w:rPr>
          <w:rFonts w:asciiTheme="minorHAnsi" w:hAnsiTheme="minorHAnsi" w:cs="Times New Roman"/>
          <w:b/>
          <w:bCs/>
          <w:sz w:val="28"/>
          <w:szCs w:val="28"/>
          <w:u w:val="single"/>
        </w:rPr>
        <w:t>Normal</w:t>
      </w:r>
    </w:p>
    <w:p w14:paraId="59F7A027" w14:textId="77777777" w:rsidR="004F429A" w:rsidRPr="00C71DF3" w:rsidRDefault="004F429A">
      <w:pPr>
        <w:pStyle w:val="Body"/>
        <w:jc w:val="both"/>
        <w:rPr>
          <w:rFonts w:asciiTheme="minorHAnsi" w:eastAsia="Times New Roman" w:hAnsiTheme="minorHAnsi" w:cs="Times New Roman"/>
          <w:sz w:val="28"/>
          <w:szCs w:val="28"/>
        </w:rPr>
      </w:pPr>
    </w:p>
    <w:p w14:paraId="0BC7F06E" w14:textId="77777777" w:rsidR="004F429A" w:rsidRPr="00C71DF3" w:rsidRDefault="009C6FFB" w:rsidP="000835DF">
      <w:pPr>
        <w:pStyle w:val="Body"/>
        <w:numPr>
          <w:ilvl w:val="0"/>
          <w:numId w:val="1"/>
        </w:numPr>
        <w:rPr>
          <w:rFonts w:asciiTheme="minorHAnsi" w:eastAsia="Times New Roman" w:hAnsiTheme="minorHAnsi" w:cs="Times New Roman"/>
          <w:b/>
          <w:bCs/>
          <w:sz w:val="28"/>
          <w:szCs w:val="28"/>
        </w:rPr>
      </w:pPr>
      <w:r w:rsidRPr="00C71DF3">
        <w:rPr>
          <w:rFonts w:asciiTheme="minorHAnsi" w:hAnsiTheme="minorHAnsi" w:cs="Times New Roman"/>
          <w:b/>
          <w:bCs/>
          <w:sz w:val="28"/>
          <w:szCs w:val="28"/>
        </w:rPr>
        <w:t xml:space="preserve">How can use of Special Masters address case delay and increase court responsiveness? </w:t>
      </w:r>
    </w:p>
    <w:p w14:paraId="105F73E5" w14:textId="77777777" w:rsidR="004F429A" w:rsidRPr="00C71DF3" w:rsidRDefault="004F429A" w:rsidP="000835DF">
      <w:pPr>
        <w:pStyle w:val="Body"/>
        <w:rPr>
          <w:rFonts w:asciiTheme="minorHAnsi" w:eastAsia="Times New Roman" w:hAnsiTheme="minorHAnsi" w:cs="Times New Roman"/>
          <w:sz w:val="28"/>
          <w:szCs w:val="28"/>
        </w:rPr>
      </w:pPr>
    </w:p>
    <w:p w14:paraId="38EDDA0E" w14:textId="77777777" w:rsidR="004F429A" w:rsidRPr="00C71DF3" w:rsidRDefault="009C6FFB" w:rsidP="000835DF">
      <w:pPr>
        <w:pStyle w:val="Body"/>
        <w:rPr>
          <w:rFonts w:asciiTheme="minorHAnsi" w:eastAsia="Times New Roman" w:hAnsiTheme="minorHAnsi" w:cs="Times New Roman"/>
          <w:sz w:val="28"/>
          <w:szCs w:val="28"/>
        </w:rPr>
      </w:pPr>
      <w:r w:rsidRPr="00C71DF3">
        <w:rPr>
          <w:rFonts w:asciiTheme="minorHAnsi" w:hAnsiTheme="minorHAnsi" w:cs="Times New Roman"/>
          <w:sz w:val="28"/>
          <w:szCs w:val="28"/>
        </w:rPr>
        <w:t>Special Masters can provide adjunct judicial services to handle matters usually handled by judges or other full-time judicial officers.  To maximize court responsiveness courts can consider:</w:t>
      </w:r>
    </w:p>
    <w:p w14:paraId="17D317F7" w14:textId="77777777" w:rsidR="004F429A" w:rsidRPr="00C71DF3" w:rsidRDefault="004F429A" w:rsidP="000835DF">
      <w:pPr>
        <w:pStyle w:val="Body"/>
        <w:rPr>
          <w:rFonts w:asciiTheme="minorHAnsi" w:eastAsia="Times New Roman" w:hAnsiTheme="minorHAnsi" w:cs="Times New Roman"/>
          <w:sz w:val="28"/>
          <w:szCs w:val="28"/>
        </w:rPr>
      </w:pPr>
    </w:p>
    <w:p w14:paraId="184B2025" w14:textId="097AFBA6" w:rsidR="004F429A" w:rsidRPr="00C71DF3" w:rsidRDefault="009C6FFB" w:rsidP="000835DF">
      <w:pPr>
        <w:pStyle w:val="Body"/>
        <w:rPr>
          <w:rFonts w:asciiTheme="minorHAnsi" w:eastAsia="Times New Roman" w:hAnsiTheme="minorHAnsi" w:cs="Times New Roman"/>
          <w:sz w:val="28"/>
          <w:szCs w:val="28"/>
        </w:rPr>
      </w:pPr>
      <w:r w:rsidRPr="00C71DF3">
        <w:rPr>
          <w:rFonts w:asciiTheme="minorHAnsi" w:hAnsiTheme="minorHAnsi" w:cs="Times New Roman"/>
          <w:sz w:val="28"/>
          <w:szCs w:val="28"/>
        </w:rPr>
        <w:t>What court services are currently suspended</w:t>
      </w:r>
      <w:r w:rsidR="00B804CC" w:rsidRPr="00C71DF3">
        <w:rPr>
          <w:rFonts w:asciiTheme="minorHAnsi" w:hAnsiTheme="minorHAnsi" w:cs="Times New Roman"/>
          <w:sz w:val="28"/>
          <w:szCs w:val="28"/>
        </w:rPr>
        <w:t xml:space="preserve"> or substantially delayed</w:t>
      </w:r>
      <w:r w:rsidRPr="00C71DF3">
        <w:rPr>
          <w:rFonts w:asciiTheme="minorHAnsi" w:hAnsiTheme="minorHAnsi" w:cs="Times New Roman"/>
          <w:sz w:val="28"/>
          <w:szCs w:val="28"/>
        </w:rPr>
        <w:t>?  Wh</w:t>
      </w:r>
      <w:r w:rsidR="00B804CC" w:rsidRPr="00C71DF3">
        <w:rPr>
          <w:rFonts w:asciiTheme="minorHAnsi" w:hAnsiTheme="minorHAnsi" w:cs="Times New Roman"/>
          <w:sz w:val="28"/>
          <w:szCs w:val="28"/>
        </w:rPr>
        <w:t xml:space="preserve">at backlogs or delays can be eased with the assistance of </w:t>
      </w:r>
      <w:r w:rsidRPr="00C71DF3">
        <w:rPr>
          <w:rFonts w:asciiTheme="minorHAnsi" w:hAnsiTheme="minorHAnsi" w:cs="Times New Roman"/>
          <w:sz w:val="28"/>
          <w:szCs w:val="28"/>
        </w:rPr>
        <w:t xml:space="preserve">a Special </w:t>
      </w:r>
      <w:proofErr w:type="gramStart"/>
      <w:r w:rsidRPr="00C71DF3">
        <w:rPr>
          <w:rFonts w:asciiTheme="minorHAnsi" w:hAnsiTheme="minorHAnsi" w:cs="Times New Roman"/>
          <w:sz w:val="28"/>
          <w:szCs w:val="28"/>
        </w:rPr>
        <w:t>Master</w:t>
      </w:r>
      <w:r w:rsidR="005B22D5">
        <w:rPr>
          <w:rFonts w:asciiTheme="minorHAnsi" w:hAnsiTheme="minorHAnsi" w:cs="Times New Roman"/>
          <w:sz w:val="28"/>
          <w:szCs w:val="28"/>
        </w:rPr>
        <w:t>.</w:t>
      </w:r>
      <w:proofErr w:type="gramEnd"/>
      <w:r w:rsidRPr="00C71DF3">
        <w:rPr>
          <w:rFonts w:asciiTheme="minorHAnsi" w:hAnsiTheme="minorHAnsi" w:cs="Times New Roman"/>
          <w:sz w:val="28"/>
          <w:szCs w:val="28"/>
        </w:rPr>
        <w:t xml:space="preserve"> </w:t>
      </w:r>
    </w:p>
    <w:p w14:paraId="151CF4E0" w14:textId="77777777" w:rsidR="004F429A" w:rsidRPr="00C71DF3" w:rsidRDefault="004F429A" w:rsidP="000835DF">
      <w:pPr>
        <w:pStyle w:val="Body"/>
        <w:rPr>
          <w:rFonts w:asciiTheme="minorHAnsi" w:eastAsia="Times New Roman" w:hAnsiTheme="minorHAnsi" w:cs="Times New Roman"/>
          <w:sz w:val="28"/>
          <w:szCs w:val="28"/>
        </w:rPr>
      </w:pPr>
    </w:p>
    <w:p w14:paraId="12EAE927" w14:textId="7A2B27A2" w:rsidR="004F429A" w:rsidRPr="00C71DF3" w:rsidRDefault="009C6FFB" w:rsidP="000835DF">
      <w:pPr>
        <w:pStyle w:val="Body"/>
        <w:rPr>
          <w:rFonts w:asciiTheme="minorHAnsi" w:hAnsiTheme="minorHAnsi" w:cs="Times New Roman"/>
          <w:sz w:val="28"/>
          <w:szCs w:val="28"/>
        </w:rPr>
      </w:pPr>
      <w:r w:rsidRPr="00C71DF3">
        <w:rPr>
          <w:rFonts w:asciiTheme="minorHAnsi" w:hAnsiTheme="minorHAnsi" w:cs="Times New Roman"/>
          <w:sz w:val="28"/>
          <w:szCs w:val="28"/>
        </w:rPr>
        <w:t xml:space="preserve">Examples </w:t>
      </w:r>
      <w:r w:rsidR="00B804CC" w:rsidRPr="00C71DF3">
        <w:rPr>
          <w:rFonts w:asciiTheme="minorHAnsi" w:hAnsiTheme="minorHAnsi" w:cs="Times New Roman"/>
          <w:sz w:val="28"/>
          <w:szCs w:val="28"/>
        </w:rPr>
        <w:t>of the types of proceedings in which special masters may help are</w:t>
      </w:r>
      <w:r w:rsidRPr="00C71DF3">
        <w:rPr>
          <w:rFonts w:asciiTheme="minorHAnsi" w:hAnsiTheme="minorHAnsi" w:cs="Times New Roman"/>
          <w:sz w:val="28"/>
          <w:szCs w:val="28"/>
        </w:rPr>
        <w:t xml:space="preserve">:  </w:t>
      </w:r>
      <w:r w:rsidR="00B804CC" w:rsidRPr="00C71DF3">
        <w:rPr>
          <w:rFonts w:asciiTheme="minorHAnsi" w:hAnsiTheme="minorHAnsi" w:cs="Times New Roman"/>
          <w:sz w:val="28"/>
          <w:szCs w:val="28"/>
        </w:rPr>
        <w:t xml:space="preserve">facilitating cooperation between parties to minimize motion practice, </w:t>
      </w:r>
      <w:r w:rsidRPr="00C71DF3">
        <w:rPr>
          <w:rFonts w:asciiTheme="minorHAnsi" w:hAnsiTheme="minorHAnsi" w:cs="Times New Roman"/>
          <w:sz w:val="28"/>
          <w:szCs w:val="28"/>
        </w:rPr>
        <w:t xml:space="preserve">modifications to visitation or temporary child custody, pre-trial </w:t>
      </w:r>
      <w:r w:rsidR="00B804CC" w:rsidRPr="00C71DF3">
        <w:rPr>
          <w:rFonts w:asciiTheme="minorHAnsi" w:hAnsiTheme="minorHAnsi" w:cs="Times New Roman"/>
          <w:sz w:val="28"/>
          <w:szCs w:val="28"/>
        </w:rPr>
        <w:t xml:space="preserve">preparation, discovery </w:t>
      </w:r>
      <w:r w:rsidRPr="00C71DF3">
        <w:rPr>
          <w:rFonts w:asciiTheme="minorHAnsi" w:hAnsiTheme="minorHAnsi" w:cs="Times New Roman"/>
          <w:sz w:val="28"/>
          <w:szCs w:val="28"/>
        </w:rPr>
        <w:t>scheduling</w:t>
      </w:r>
      <w:r w:rsidR="00B804CC" w:rsidRPr="00C71DF3">
        <w:rPr>
          <w:rFonts w:asciiTheme="minorHAnsi" w:hAnsiTheme="minorHAnsi" w:cs="Times New Roman"/>
          <w:sz w:val="28"/>
          <w:szCs w:val="28"/>
        </w:rPr>
        <w:t xml:space="preserve"> and dispute resolution</w:t>
      </w:r>
      <w:r w:rsidRPr="00C71DF3">
        <w:rPr>
          <w:rFonts w:asciiTheme="minorHAnsi" w:hAnsiTheme="minorHAnsi" w:cs="Times New Roman"/>
          <w:sz w:val="28"/>
          <w:szCs w:val="28"/>
        </w:rPr>
        <w:t xml:space="preserve">, </w:t>
      </w:r>
      <w:r w:rsidR="00B804CC" w:rsidRPr="00C71DF3">
        <w:rPr>
          <w:rFonts w:asciiTheme="minorHAnsi" w:hAnsiTheme="minorHAnsi" w:cs="Times New Roman"/>
          <w:sz w:val="28"/>
          <w:szCs w:val="28"/>
        </w:rPr>
        <w:t xml:space="preserve">resolution of disputes concerning the use of </w:t>
      </w:r>
      <w:r w:rsidRPr="00C71DF3">
        <w:rPr>
          <w:rFonts w:asciiTheme="minorHAnsi" w:hAnsiTheme="minorHAnsi" w:cs="Times New Roman"/>
          <w:sz w:val="28"/>
          <w:szCs w:val="28"/>
        </w:rPr>
        <w:t>expert</w:t>
      </w:r>
      <w:r w:rsidR="00B804CC" w:rsidRPr="00C71DF3">
        <w:rPr>
          <w:rFonts w:asciiTheme="minorHAnsi" w:hAnsiTheme="minorHAnsi" w:cs="Times New Roman"/>
          <w:sz w:val="28"/>
          <w:szCs w:val="28"/>
        </w:rPr>
        <w:t>s</w:t>
      </w:r>
      <w:r w:rsidRPr="00C71DF3">
        <w:rPr>
          <w:rFonts w:asciiTheme="minorHAnsi" w:hAnsiTheme="minorHAnsi" w:cs="Times New Roman"/>
          <w:sz w:val="28"/>
          <w:szCs w:val="28"/>
        </w:rPr>
        <w:t xml:space="preserve"> </w:t>
      </w:r>
      <w:r w:rsidR="00B804CC" w:rsidRPr="00C71DF3">
        <w:rPr>
          <w:rFonts w:asciiTheme="minorHAnsi" w:hAnsiTheme="minorHAnsi" w:cs="Times New Roman"/>
          <w:sz w:val="28"/>
          <w:szCs w:val="28"/>
        </w:rPr>
        <w:t xml:space="preserve"> or evidentiary issues, and providing expertise that can be used to clarify or simplify disputes, or providing mediation services to assist in resolving disputes. </w:t>
      </w:r>
      <w:r w:rsidR="0041669B" w:rsidRPr="00C71DF3">
        <w:rPr>
          <w:rFonts w:asciiTheme="minorHAnsi" w:hAnsiTheme="minorHAnsi" w:cs="Times New Roman"/>
          <w:sz w:val="28"/>
          <w:szCs w:val="28"/>
        </w:rPr>
        <w:t xml:space="preserve"> The current demands may give rise to other ways special masters can assist courts – such as assisting in reviewing case files to suggest efficient management.</w:t>
      </w:r>
    </w:p>
    <w:p w14:paraId="2FD4931A" w14:textId="091C2564" w:rsidR="0035673F" w:rsidRPr="00C71DF3" w:rsidRDefault="0035673F" w:rsidP="000835DF">
      <w:pPr>
        <w:pStyle w:val="Body"/>
        <w:rPr>
          <w:rFonts w:asciiTheme="minorHAnsi" w:hAnsiTheme="minorHAnsi" w:cs="Times New Roman"/>
          <w:sz w:val="28"/>
          <w:szCs w:val="28"/>
        </w:rPr>
      </w:pPr>
    </w:p>
    <w:p w14:paraId="17D311BF" w14:textId="110C515D" w:rsidR="0035673F" w:rsidRPr="00C71DF3" w:rsidRDefault="0035673F" w:rsidP="000835DF">
      <w:pPr>
        <w:pStyle w:val="Body"/>
        <w:rPr>
          <w:rFonts w:asciiTheme="minorHAnsi" w:hAnsiTheme="minorHAnsi" w:cs="Times New Roman"/>
          <w:sz w:val="28"/>
          <w:szCs w:val="28"/>
        </w:rPr>
      </w:pPr>
      <w:r w:rsidRPr="00C71DF3">
        <w:rPr>
          <w:rFonts w:asciiTheme="minorHAnsi" w:hAnsiTheme="minorHAnsi" w:cs="Times New Roman"/>
          <w:sz w:val="28"/>
          <w:szCs w:val="28"/>
        </w:rPr>
        <w:t xml:space="preserve">Authority for the use of “special masters” and even what they are called varies among the jurisdictions.  Federal district courts have been found the have inherent authority to appoint special masters, with Federal Rule Civil Procedure 53 addressing the terms of the appointment.  </w:t>
      </w:r>
      <w:r w:rsidR="009E635D">
        <w:rPr>
          <w:rFonts w:asciiTheme="minorHAnsi" w:hAnsiTheme="minorHAnsi" w:cs="Times New Roman"/>
          <w:sz w:val="28"/>
          <w:szCs w:val="28"/>
        </w:rPr>
        <w:t>The resource list below includes a reference to authority by state.</w:t>
      </w:r>
      <w:r w:rsidRPr="00C71DF3">
        <w:rPr>
          <w:rFonts w:asciiTheme="minorHAnsi" w:hAnsiTheme="minorHAnsi" w:cs="Times New Roman"/>
          <w:sz w:val="28"/>
          <w:szCs w:val="28"/>
        </w:rPr>
        <w:t xml:space="preserve">  </w:t>
      </w:r>
    </w:p>
    <w:p w14:paraId="5387318F" w14:textId="364917B8" w:rsidR="00EC7406" w:rsidRDefault="00EC7406" w:rsidP="000835DF">
      <w:pPr>
        <w:pStyle w:val="Body"/>
        <w:rPr>
          <w:rFonts w:asciiTheme="minorHAnsi" w:hAnsiTheme="minorHAnsi" w:cs="Times New Roman"/>
          <w:sz w:val="28"/>
          <w:szCs w:val="28"/>
        </w:rPr>
      </w:pPr>
    </w:p>
    <w:p w14:paraId="437D8B0C" w14:textId="6E83A8E0" w:rsidR="00D73EAF" w:rsidRPr="00D73EAF" w:rsidRDefault="00D73EAF" w:rsidP="00D73EAF">
      <w:pPr>
        <w:pStyle w:val="Body"/>
        <w:rPr>
          <w:rFonts w:asciiTheme="minorHAnsi" w:hAnsiTheme="minorHAnsi" w:cs="Times New Roman"/>
          <w:sz w:val="28"/>
          <w:szCs w:val="28"/>
        </w:rPr>
      </w:pPr>
      <w:r w:rsidRPr="00D73EAF">
        <w:rPr>
          <w:rFonts w:asciiTheme="minorHAnsi" w:hAnsiTheme="minorHAnsi" w:cs="Times New Roman"/>
          <w:sz w:val="28"/>
          <w:szCs w:val="28"/>
        </w:rPr>
        <w:t>Special Master appointments will vary depending on local law, court needs and the Special Master’s role in the proceeding.  Both the length of the appointment and the degree that parties are involved will differ as well.  Special Masters can be appointed for entire cases or can be appointed for specific tasks.  So too, Special Masters may be appointed for a specific length of time.</w:t>
      </w:r>
    </w:p>
    <w:p w14:paraId="424C3190" w14:textId="77777777" w:rsidR="00D73EAF" w:rsidRPr="00D73EAF" w:rsidRDefault="00D73EAF" w:rsidP="00D73EAF">
      <w:pPr>
        <w:pStyle w:val="Body"/>
        <w:rPr>
          <w:rFonts w:asciiTheme="minorHAnsi" w:hAnsiTheme="minorHAnsi" w:cs="Times New Roman"/>
          <w:sz w:val="28"/>
          <w:szCs w:val="28"/>
        </w:rPr>
      </w:pPr>
    </w:p>
    <w:p w14:paraId="2D1FB69A" w14:textId="397B9842" w:rsidR="005B22D5" w:rsidRPr="00C71DF3" w:rsidRDefault="00D73EAF" w:rsidP="00D73EAF">
      <w:pPr>
        <w:pStyle w:val="Body"/>
        <w:rPr>
          <w:rFonts w:asciiTheme="minorHAnsi" w:hAnsiTheme="minorHAnsi" w:cs="Times New Roman"/>
          <w:sz w:val="28"/>
          <w:szCs w:val="28"/>
        </w:rPr>
      </w:pPr>
      <w:r w:rsidRPr="00D73EAF">
        <w:rPr>
          <w:rFonts w:asciiTheme="minorHAnsi" w:hAnsiTheme="minorHAnsi" w:cs="Times New Roman"/>
          <w:sz w:val="28"/>
          <w:szCs w:val="28"/>
        </w:rPr>
        <w:t xml:space="preserve">Laws and procedures in some jurisdictions may require that </w:t>
      </w:r>
      <w:proofErr w:type="gramStart"/>
      <w:r w:rsidRPr="00D73EAF">
        <w:rPr>
          <w:rFonts w:asciiTheme="minorHAnsi" w:hAnsiTheme="minorHAnsi" w:cs="Times New Roman"/>
          <w:sz w:val="28"/>
          <w:szCs w:val="28"/>
        </w:rPr>
        <w:t>parties</w:t>
      </w:r>
      <w:proofErr w:type="gramEnd"/>
      <w:r w:rsidRPr="00D73EAF">
        <w:rPr>
          <w:rFonts w:asciiTheme="minorHAnsi" w:hAnsiTheme="minorHAnsi" w:cs="Times New Roman"/>
          <w:sz w:val="28"/>
          <w:szCs w:val="28"/>
        </w:rPr>
        <w:t xml:space="preserve"> consent to the use of a Special Master.  The scope of that consent will also differ.  Even where party consent is not required, courts may wish to involve the </w:t>
      </w:r>
      <w:r w:rsidRPr="00D73EAF">
        <w:rPr>
          <w:rFonts w:asciiTheme="minorHAnsi" w:hAnsiTheme="minorHAnsi" w:cs="Times New Roman"/>
          <w:sz w:val="28"/>
          <w:szCs w:val="28"/>
        </w:rPr>
        <w:lastRenderedPageBreak/>
        <w:t>parties in defining the scope of the appointment and choosing the Special Master.  Parties can also be consulted about other alternative approaches to a speedy resolution</w:t>
      </w:r>
      <w:r w:rsidR="00936119">
        <w:rPr>
          <w:rFonts w:asciiTheme="minorHAnsi" w:hAnsiTheme="minorHAnsi" w:cs="Times New Roman"/>
          <w:sz w:val="28"/>
          <w:szCs w:val="28"/>
        </w:rPr>
        <w:t>.</w:t>
      </w:r>
    </w:p>
    <w:p w14:paraId="58FF4459" w14:textId="1A5B9453" w:rsidR="00C71DF3" w:rsidRDefault="00C71DF3">
      <w:pPr>
        <w:rPr>
          <w:rFonts w:asciiTheme="minorHAnsi" w:eastAsia="Times New Roman" w:hAnsiTheme="minorHAnsi"/>
          <w:color w:val="000000"/>
          <w:szCs w:val="22"/>
          <w14:textOutline w14:w="0" w14:cap="flat" w14:cmpd="sng" w14:algn="ctr">
            <w14:noFill/>
            <w14:prstDash w14:val="solid"/>
            <w14:bevel/>
          </w14:textOutline>
        </w:rPr>
      </w:pPr>
      <w:r>
        <w:rPr>
          <w:rFonts w:asciiTheme="minorHAnsi" w:eastAsia="Times New Roman" w:hAnsiTheme="minorHAnsi"/>
        </w:rPr>
        <w:br w:type="page"/>
      </w:r>
    </w:p>
    <w:p w14:paraId="53EDF99A" w14:textId="77777777" w:rsidR="004F429A" w:rsidRPr="00C71DF3" w:rsidRDefault="009C6FFB" w:rsidP="000835DF">
      <w:pPr>
        <w:pStyle w:val="Body"/>
        <w:numPr>
          <w:ilvl w:val="0"/>
          <w:numId w:val="1"/>
        </w:numPr>
        <w:rPr>
          <w:rFonts w:asciiTheme="minorHAnsi" w:eastAsia="Times New Roman" w:hAnsiTheme="minorHAnsi" w:cs="Times New Roman"/>
          <w:sz w:val="28"/>
          <w:szCs w:val="28"/>
        </w:rPr>
      </w:pPr>
      <w:r w:rsidRPr="00C71DF3">
        <w:rPr>
          <w:rFonts w:asciiTheme="minorHAnsi" w:hAnsiTheme="minorHAnsi" w:cs="Times New Roman"/>
          <w:b/>
          <w:bCs/>
          <w:sz w:val="28"/>
          <w:szCs w:val="28"/>
        </w:rPr>
        <w:lastRenderedPageBreak/>
        <w:t>How do we find qualified Special Masters?</w:t>
      </w:r>
    </w:p>
    <w:p w14:paraId="6B8D58AB" w14:textId="77777777" w:rsidR="004F429A" w:rsidRPr="00C71DF3" w:rsidRDefault="004F429A" w:rsidP="000835DF">
      <w:pPr>
        <w:pStyle w:val="Body"/>
        <w:rPr>
          <w:rFonts w:asciiTheme="minorHAnsi" w:eastAsia="Times New Roman" w:hAnsiTheme="minorHAnsi" w:cs="Times New Roman"/>
          <w:sz w:val="28"/>
          <w:szCs w:val="28"/>
        </w:rPr>
      </w:pPr>
    </w:p>
    <w:p w14:paraId="288F7C27" w14:textId="77777777" w:rsidR="004F429A" w:rsidRPr="00C71DF3" w:rsidRDefault="00851B96" w:rsidP="000835DF">
      <w:pPr>
        <w:pStyle w:val="Body"/>
        <w:rPr>
          <w:rFonts w:asciiTheme="minorHAnsi" w:eastAsia="Times New Roman" w:hAnsiTheme="minorHAnsi" w:cs="Times New Roman"/>
          <w:sz w:val="28"/>
          <w:szCs w:val="28"/>
        </w:rPr>
      </w:pPr>
      <w:r w:rsidRPr="00C71DF3">
        <w:rPr>
          <w:rFonts w:asciiTheme="minorHAnsi" w:hAnsiTheme="minorHAnsi" w:cs="Times New Roman"/>
          <w:sz w:val="28"/>
          <w:szCs w:val="28"/>
        </w:rPr>
        <w:t xml:space="preserve">The skills to look for in </w:t>
      </w:r>
      <w:r w:rsidR="009C6FFB" w:rsidRPr="00C71DF3">
        <w:rPr>
          <w:rFonts w:asciiTheme="minorHAnsi" w:hAnsiTheme="minorHAnsi" w:cs="Times New Roman"/>
          <w:sz w:val="28"/>
          <w:szCs w:val="28"/>
        </w:rPr>
        <w:t xml:space="preserve">Special Masters </w:t>
      </w:r>
      <w:r w:rsidRPr="00C71DF3">
        <w:rPr>
          <w:rFonts w:asciiTheme="minorHAnsi" w:hAnsiTheme="minorHAnsi" w:cs="Times New Roman"/>
          <w:sz w:val="28"/>
          <w:szCs w:val="28"/>
        </w:rPr>
        <w:t>should be adapted to the task they perform.  Depending on the task, c</w:t>
      </w:r>
      <w:r w:rsidR="009C6FFB" w:rsidRPr="00C71DF3">
        <w:rPr>
          <w:rFonts w:asciiTheme="minorHAnsi" w:hAnsiTheme="minorHAnsi" w:cs="Times New Roman"/>
          <w:sz w:val="28"/>
          <w:szCs w:val="28"/>
        </w:rPr>
        <w:t>ertified arbitrators, former judges, hearing officers</w:t>
      </w:r>
      <w:r w:rsidRPr="00C71DF3">
        <w:rPr>
          <w:rFonts w:asciiTheme="minorHAnsi" w:hAnsiTheme="minorHAnsi" w:cs="Times New Roman"/>
          <w:sz w:val="28"/>
          <w:szCs w:val="28"/>
        </w:rPr>
        <w:t xml:space="preserve">, lawyers </w:t>
      </w:r>
      <w:r w:rsidR="009C6FFB" w:rsidRPr="00C71DF3">
        <w:rPr>
          <w:rFonts w:asciiTheme="minorHAnsi" w:hAnsiTheme="minorHAnsi" w:cs="Times New Roman"/>
          <w:sz w:val="28"/>
          <w:szCs w:val="28"/>
        </w:rPr>
        <w:t xml:space="preserve">with </w:t>
      </w:r>
      <w:r w:rsidR="00495327" w:rsidRPr="00C71DF3">
        <w:rPr>
          <w:rFonts w:asciiTheme="minorHAnsi" w:hAnsiTheme="minorHAnsi" w:cs="Times New Roman"/>
          <w:sz w:val="28"/>
          <w:szCs w:val="28"/>
        </w:rPr>
        <w:t xml:space="preserve">case management, </w:t>
      </w:r>
      <w:r w:rsidR="009C6FFB" w:rsidRPr="00C71DF3">
        <w:rPr>
          <w:rFonts w:asciiTheme="minorHAnsi" w:hAnsiTheme="minorHAnsi" w:cs="Times New Roman"/>
          <w:sz w:val="28"/>
          <w:szCs w:val="28"/>
        </w:rPr>
        <w:t xml:space="preserve">settlement </w:t>
      </w:r>
      <w:r w:rsidR="00495327" w:rsidRPr="00C71DF3">
        <w:rPr>
          <w:rFonts w:asciiTheme="minorHAnsi" w:hAnsiTheme="minorHAnsi" w:cs="Times New Roman"/>
          <w:sz w:val="28"/>
          <w:szCs w:val="28"/>
        </w:rPr>
        <w:t xml:space="preserve">or other relevant </w:t>
      </w:r>
      <w:r w:rsidR="009C6FFB" w:rsidRPr="00C71DF3">
        <w:rPr>
          <w:rFonts w:asciiTheme="minorHAnsi" w:hAnsiTheme="minorHAnsi" w:cs="Times New Roman"/>
          <w:sz w:val="28"/>
          <w:szCs w:val="28"/>
        </w:rPr>
        <w:t xml:space="preserve">skills </w:t>
      </w:r>
      <w:r w:rsidRPr="00C71DF3">
        <w:rPr>
          <w:rFonts w:asciiTheme="minorHAnsi" w:hAnsiTheme="minorHAnsi" w:cs="Times New Roman"/>
          <w:sz w:val="28"/>
          <w:szCs w:val="28"/>
        </w:rPr>
        <w:t xml:space="preserve">and experience </w:t>
      </w:r>
      <w:r w:rsidR="009C6FFB" w:rsidRPr="00C71DF3">
        <w:rPr>
          <w:rFonts w:asciiTheme="minorHAnsi" w:hAnsiTheme="minorHAnsi" w:cs="Times New Roman"/>
          <w:sz w:val="28"/>
          <w:szCs w:val="28"/>
        </w:rPr>
        <w:t>are all potential Special Masters.</w:t>
      </w:r>
    </w:p>
    <w:p w14:paraId="239AAA87" w14:textId="77777777" w:rsidR="004F429A" w:rsidRPr="00C71DF3" w:rsidRDefault="004F429A" w:rsidP="000835DF">
      <w:pPr>
        <w:pStyle w:val="Body"/>
        <w:rPr>
          <w:rFonts w:asciiTheme="minorHAnsi" w:eastAsia="Times New Roman" w:hAnsiTheme="minorHAnsi" w:cs="Times New Roman"/>
          <w:sz w:val="28"/>
          <w:szCs w:val="28"/>
        </w:rPr>
      </w:pPr>
    </w:p>
    <w:p w14:paraId="7F8CC605" w14:textId="36CFCA1B" w:rsidR="004F429A" w:rsidRPr="00C71DF3" w:rsidRDefault="009C6FFB" w:rsidP="000835DF">
      <w:pPr>
        <w:pStyle w:val="Body"/>
        <w:rPr>
          <w:rFonts w:asciiTheme="minorHAnsi" w:eastAsia="Times New Roman" w:hAnsiTheme="minorHAnsi" w:cs="Times New Roman"/>
          <w:sz w:val="28"/>
          <w:szCs w:val="28"/>
        </w:rPr>
      </w:pPr>
      <w:r w:rsidRPr="00C71DF3">
        <w:rPr>
          <w:rFonts w:asciiTheme="minorHAnsi" w:hAnsiTheme="minorHAnsi" w:cs="Times New Roman"/>
          <w:sz w:val="28"/>
          <w:szCs w:val="28"/>
        </w:rPr>
        <w:t xml:space="preserve">Those jurisdictions with judicial selection bodies may want to use their selection criteria to assist in evaluating the qualifications of Special Masters. </w:t>
      </w:r>
      <w:r w:rsidR="00495327" w:rsidRPr="00C71DF3">
        <w:rPr>
          <w:rFonts w:asciiTheme="minorHAnsi" w:hAnsiTheme="minorHAnsi" w:cs="Times New Roman"/>
          <w:sz w:val="28"/>
          <w:szCs w:val="28"/>
        </w:rPr>
        <w:t xml:space="preserve"> Jurisdictions with existing court-based ADR rosters may want to explore using individuals already qualified for those rosters.</w:t>
      </w:r>
      <w:r w:rsidR="00C165C1">
        <w:rPr>
          <w:rFonts w:asciiTheme="minorHAnsi" w:hAnsiTheme="minorHAnsi" w:cs="Times New Roman"/>
          <w:sz w:val="28"/>
          <w:szCs w:val="28"/>
        </w:rPr>
        <w:t xml:space="preserve">  There are also individuals who have already served as special masters in local, regional and national capacities</w:t>
      </w:r>
      <w:r w:rsidR="006E09E5">
        <w:rPr>
          <w:rFonts w:asciiTheme="minorHAnsi" w:hAnsiTheme="minorHAnsi" w:cs="Times New Roman"/>
          <w:sz w:val="28"/>
          <w:szCs w:val="28"/>
        </w:rPr>
        <w:t xml:space="preserve">.  </w:t>
      </w:r>
      <w:r w:rsidR="006E09E5" w:rsidRPr="006E09E5">
        <w:rPr>
          <w:rFonts w:asciiTheme="minorHAnsi" w:hAnsiTheme="minorHAnsi" w:cs="Times New Roman"/>
          <w:sz w:val="28"/>
          <w:szCs w:val="28"/>
        </w:rPr>
        <w:t>Resources listed below may assist in identifying experienced Special Masters available to assist your court</w:t>
      </w:r>
      <w:r w:rsidR="006E09E5">
        <w:rPr>
          <w:rFonts w:asciiTheme="minorHAnsi" w:hAnsiTheme="minorHAnsi" w:cs="Times New Roman"/>
          <w:sz w:val="28"/>
          <w:szCs w:val="28"/>
        </w:rPr>
        <w:t>.</w:t>
      </w:r>
    </w:p>
    <w:p w14:paraId="5695AADF" w14:textId="77777777" w:rsidR="004F429A" w:rsidRPr="00C71DF3" w:rsidRDefault="004F429A" w:rsidP="000835DF">
      <w:pPr>
        <w:pStyle w:val="Body"/>
        <w:rPr>
          <w:rFonts w:asciiTheme="minorHAnsi" w:eastAsia="Times New Roman" w:hAnsiTheme="minorHAnsi" w:cs="Times New Roman"/>
          <w:sz w:val="28"/>
          <w:szCs w:val="28"/>
        </w:rPr>
      </w:pPr>
    </w:p>
    <w:p w14:paraId="46C90CFF" w14:textId="77777777" w:rsidR="004F429A" w:rsidRPr="00C71DF3" w:rsidRDefault="009C6FFB" w:rsidP="000835DF">
      <w:pPr>
        <w:pStyle w:val="Body"/>
        <w:rPr>
          <w:rFonts w:asciiTheme="minorHAnsi" w:hAnsiTheme="minorHAnsi" w:cs="Times New Roman"/>
          <w:sz w:val="28"/>
          <w:szCs w:val="28"/>
        </w:rPr>
      </w:pPr>
      <w:r w:rsidRPr="00C71DF3">
        <w:rPr>
          <w:rFonts w:asciiTheme="minorHAnsi" w:hAnsiTheme="minorHAnsi" w:cs="Times New Roman"/>
          <w:sz w:val="28"/>
          <w:szCs w:val="28"/>
        </w:rPr>
        <w:t>Special training for expanded use of Special Masters could take place in conjunction with existing Bar CLE programs or other judicial training programs.</w:t>
      </w:r>
      <w:r w:rsidR="002C3E46" w:rsidRPr="00C71DF3">
        <w:rPr>
          <w:rFonts w:asciiTheme="minorHAnsi" w:hAnsiTheme="minorHAnsi" w:cs="Times New Roman"/>
          <w:sz w:val="28"/>
          <w:szCs w:val="28"/>
        </w:rPr>
        <w:t xml:space="preserve">  The ABA is also exploring the interest and resources available for creating a training program.</w:t>
      </w:r>
    </w:p>
    <w:p w14:paraId="2A046044" w14:textId="77777777" w:rsidR="00851B96" w:rsidRPr="00C71DF3" w:rsidRDefault="00851B96" w:rsidP="000835DF">
      <w:pPr>
        <w:pStyle w:val="Body"/>
        <w:rPr>
          <w:rFonts w:asciiTheme="minorHAnsi" w:hAnsiTheme="minorHAnsi" w:cs="Times New Roman"/>
          <w:sz w:val="28"/>
          <w:szCs w:val="28"/>
        </w:rPr>
      </w:pPr>
    </w:p>
    <w:p w14:paraId="04EDCB14" w14:textId="67E65748" w:rsidR="002667A4" w:rsidRDefault="00851B96" w:rsidP="000835DF">
      <w:pPr>
        <w:pStyle w:val="Body"/>
        <w:rPr>
          <w:rFonts w:asciiTheme="minorHAnsi" w:hAnsiTheme="minorHAnsi" w:cs="Times New Roman"/>
          <w:sz w:val="28"/>
          <w:szCs w:val="28"/>
        </w:rPr>
      </w:pPr>
      <w:r w:rsidRPr="00C71DF3">
        <w:rPr>
          <w:rFonts w:asciiTheme="minorHAnsi" w:hAnsiTheme="minorHAnsi" w:cs="Times New Roman"/>
          <w:sz w:val="28"/>
          <w:szCs w:val="28"/>
        </w:rPr>
        <w:t>Courts also need either to establish</w:t>
      </w:r>
      <w:r w:rsidR="004D2AE8" w:rsidRPr="00C71DF3">
        <w:rPr>
          <w:rFonts w:asciiTheme="minorHAnsi" w:hAnsiTheme="minorHAnsi" w:cs="Times New Roman"/>
          <w:sz w:val="28"/>
          <w:szCs w:val="28"/>
        </w:rPr>
        <w:t xml:space="preserve"> a system</w:t>
      </w:r>
      <w:r w:rsidRPr="00C71DF3">
        <w:rPr>
          <w:rFonts w:asciiTheme="minorHAnsi" w:hAnsiTheme="minorHAnsi" w:cs="Times New Roman"/>
          <w:sz w:val="28"/>
          <w:szCs w:val="28"/>
        </w:rPr>
        <w:t xml:space="preserve">, or to use some </w:t>
      </w:r>
      <w:r w:rsidR="004D2AE8" w:rsidRPr="00C71DF3">
        <w:rPr>
          <w:rFonts w:asciiTheme="minorHAnsi" w:hAnsiTheme="minorHAnsi" w:cs="Times New Roman"/>
          <w:sz w:val="28"/>
          <w:szCs w:val="28"/>
        </w:rPr>
        <w:t xml:space="preserve">existing </w:t>
      </w:r>
      <w:r w:rsidRPr="00C71DF3">
        <w:rPr>
          <w:rFonts w:asciiTheme="minorHAnsi" w:hAnsiTheme="minorHAnsi" w:cs="Times New Roman"/>
          <w:sz w:val="28"/>
          <w:szCs w:val="28"/>
        </w:rPr>
        <w:t>system</w:t>
      </w:r>
      <w:r w:rsidR="004D2AE8" w:rsidRPr="00C71DF3">
        <w:rPr>
          <w:rFonts w:asciiTheme="minorHAnsi" w:hAnsiTheme="minorHAnsi" w:cs="Times New Roman"/>
          <w:sz w:val="28"/>
          <w:szCs w:val="28"/>
        </w:rPr>
        <w:t>,</w:t>
      </w:r>
      <w:r w:rsidRPr="00C71DF3">
        <w:rPr>
          <w:rFonts w:asciiTheme="minorHAnsi" w:hAnsiTheme="minorHAnsi" w:cs="Times New Roman"/>
          <w:sz w:val="28"/>
          <w:szCs w:val="28"/>
        </w:rPr>
        <w:t xml:space="preserve"> of vetting to ensure that the special masters chosen have the appropriate temperament and skills for the job and, as a group, bring to it the appropriate diversity of experience.</w:t>
      </w:r>
    </w:p>
    <w:p w14:paraId="0AAF4FDC" w14:textId="77777777" w:rsidR="002667A4" w:rsidRDefault="002667A4">
      <w:pPr>
        <w:rPr>
          <w:rFonts w:asciiTheme="minorHAnsi" w:hAnsiTheme="minorHAnsi"/>
          <w:color w:val="000000"/>
          <w:sz w:val="28"/>
          <w:szCs w:val="28"/>
          <w14:textOutline w14:w="0" w14:cap="flat" w14:cmpd="sng" w14:algn="ctr">
            <w14:noFill/>
            <w14:prstDash w14:val="solid"/>
            <w14:bevel/>
          </w14:textOutline>
        </w:rPr>
      </w:pPr>
      <w:r>
        <w:rPr>
          <w:rFonts w:asciiTheme="minorHAnsi" w:hAnsiTheme="minorHAnsi"/>
          <w:sz w:val="28"/>
          <w:szCs w:val="28"/>
        </w:rPr>
        <w:br w:type="page"/>
      </w:r>
    </w:p>
    <w:p w14:paraId="2C7A8AC1" w14:textId="77777777" w:rsidR="004F429A" w:rsidRPr="00C71DF3" w:rsidRDefault="009C6FFB" w:rsidP="000835DF">
      <w:pPr>
        <w:pStyle w:val="Body"/>
        <w:numPr>
          <w:ilvl w:val="0"/>
          <w:numId w:val="1"/>
        </w:numPr>
        <w:rPr>
          <w:rFonts w:asciiTheme="minorHAnsi" w:eastAsia="Times New Roman" w:hAnsiTheme="minorHAnsi" w:cs="Times New Roman"/>
          <w:sz w:val="28"/>
          <w:szCs w:val="28"/>
        </w:rPr>
      </w:pPr>
      <w:r w:rsidRPr="00C71DF3">
        <w:rPr>
          <w:rFonts w:asciiTheme="minorHAnsi" w:hAnsiTheme="minorHAnsi" w:cs="Times New Roman"/>
          <w:b/>
          <w:bCs/>
          <w:sz w:val="28"/>
          <w:szCs w:val="28"/>
        </w:rPr>
        <w:lastRenderedPageBreak/>
        <w:t>Informed consent and public accountability when using Special Masters</w:t>
      </w:r>
    </w:p>
    <w:p w14:paraId="7429EADF" w14:textId="77777777" w:rsidR="004F429A" w:rsidRPr="00C71DF3" w:rsidRDefault="004F429A" w:rsidP="000835DF">
      <w:pPr>
        <w:pStyle w:val="Body"/>
        <w:rPr>
          <w:rFonts w:asciiTheme="minorHAnsi" w:eastAsia="Times New Roman" w:hAnsiTheme="minorHAnsi" w:cs="Times New Roman"/>
          <w:i/>
          <w:iCs/>
          <w:sz w:val="28"/>
          <w:szCs w:val="28"/>
        </w:rPr>
      </w:pPr>
    </w:p>
    <w:p w14:paraId="07246846" w14:textId="77777777" w:rsidR="004F429A" w:rsidRPr="00C71DF3" w:rsidRDefault="009C6FFB" w:rsidP="000835DF">
      <w:pPr>
        <w:pStyle w:val="Body"/>
        <w:rPr>
          <w:rFonts w:asciiTheme="minorHAnsi" w:eastAsia="Times New Roman" w:hAnsiTheme="minorHAnsi" w:cs="Times New Roman"/>
          <w:sz w:val="28"/>
          <w:szCs w:val="28"/>
        </w:rPr>
      </w:pPr>
      <w:r w:rsidRPr="00C71DF3">
        <w:rPr>
          <w:rFonts w:asciiTheme="minorHAnsi" w:hAnsiTheme="minorHAnsi" w:cs="Times New Roman"/>
          <w:sz w:val="28"/>
          <w:szCs w:val="28"/>
        </w:rPr>
        <w:t>Use of Special Masters should enhance and not lessen the quality of justice services.  To that end, where use of Special Masters is by direct court appointment, the appointing authority has the obligation to ensure that the Special Master will comply with relevant Codes of Conduct, are appointed on the basis of qualifications and not favoritism, and with consideration of diversity.</w:t>
      </w:r>
    </w:p>
    <w:p w14:paraId="1AC0F144" w14:textId="77777777" w:rsidR="004F429A" w:rsidRPr="00C71DF3" w:rsidRDefault="004F429A" w:rsidP="000835DF">
      <w:pPr>
        <w:pStyle w:val="Body"/>
        <w:rPr>
          <w:rFonts w:asciiTheme="minorHAnsi" w:eastAsia="Times New Roman" w:hAnsiTheme="minorHAnsi" w:cs="Times New Roman"/>
          <w:sz w:val="28"/>
          <w:szCs w:val="28"/>
        </w:rPr>
      </w:pPr>
    </w:p>
    <w:p w14:paraId="76F47B24" w14:textId="77777777" w:rsidR="004F429A" w:rsidRPr="00C71DF3" w:rsidRDefault="009C6FFB" w:rsidP="000835DF">
      <w:pPr>
        <w:pStyle w:val="Body"/>
        <w:rPr>
          <w:rFonts w:asciiTheme="minorHAnsi" w:eastAsia="Times New Roman" w:hAnsiTheme="minorHAnsi" w:cs="Times New Roman"/>
          <w:sz w:val="28"/>
          <w:szCs w:val="28"/>
        </w:rPr>
      </w:pPr>
      <w:r w:rsidRPr="00C71DF3">
        <w:rPr>
          <w:rFonts w:asciiTheme="minorHAnsi" w:hAnsiTheme="minorHAnsi" w:cs="Times New Roman"/>
          <w:sz w:val="28"/>
          <w:szCs w:val="28"/>
        </w:rPr>
        <w:t>Where parties will need to consent to use of a Special Master, ideally the parties will be given a list of qualified names to choose from.  For parties of limited means, pro bono Special Masters or Special Masters paid through public funds may be needed.</w:t>
      </w:r>
    </w:p>
    <w:p w14:paraId="1C25122F" w14:textId="77777777" w:rsidR="004F429A" w:rsidRPr="00C71DF3" w:rsidRDefault="004F429A" w:rsidP="000835DF">
      <w:pPr>
        <w:pStyle w:val="Body"/>
        <w:rPr>
          <w:rFonts w:asciiTheme="minorHAnsi" w:eastAsia="Times New Roman" w:hAnsiTheme="minorHAnsi" w:cs="Times New Roman"/>
          <w:sz w:val="28"/>
          <w:szCs w:val="28"/>
        </w:rPr>
      </w:pPr>
    </w:p>
    <w:p w14:paraId="55376386" w14:textId="77777777" w:rsidR="004F429A" w:rsidRPr="00C71DF3" w:rsidRDefault="009C6FFB" w:rsidP="000835DF">
      <w:pPr>
        <w:pStyle w:val="Body"/>
        <w:rPr>
          <w:rFonts w:asciiTheme="minorHAnsi" w:eastAsia="Times New Roman" w:hAnsiTheme="minorHAnsi" w:cs="Times New Roman"/>
          <w:sz w:val="28"/>
          <w:szCs w:val="28"/>
        </w:rPr>
      </w:pPr>
      <w:r w:rsidRPr="00C71DF3">
        <w:rPr>
          <w:rFonts w:asciiTheme="minorHAnsi" w:hAnsiTheme="minorHAnsi" w:cs="Times New Roman"/>
          <w:sz w:val="28"/>
          <w:szCs w:val="28"/>
        </w:rPr>
        <w:t>A Special Master coordinator who is part of the court administration can oversee the appointment process and the compensation structure for the Special Master program.</w:t>
      </w:r>
    </w:p>
    <w:p w14:paraId="48F1EC56" w14:textId="77777777" w:rsidR="004F429A" w:rsidRPr="00C71DF3" w:rsidRDefault="004F429A" w:rsidP="000835DF">
      <w:pPr>
        <w:pStyle w:val="Body"/>
        <w:rPr>
          <w:rFonts w:asciiTheme="minorHAnsi" w:eastAsia="Times New Roman" w:hAnsiTheme="minorHAnsi" w:cs="Times New Roman"/>
          <w:sz w:val="28"/>
          <w:szCs w:val="28"/>
        </w:rPr>
      </w:pPr>
    </w:p>
    <w:p w14:paraId="04048539" w14:textId="77777777" w:rsidR="004F429A" w:rsidRPr="00C71DF3" w:rsidRDefault="009C6FFB" w:rsidP="000835DF">
      <w:pPr>
        <w:pStyle w:val="Body"/>
        <w:rPr>
          <w:rFonts w:asciiTheme="minorHAnsi" w:eastAsia="Times New Roman" w:hAnsiTheme="minorHAnsi" w:cs="Times New Roman"/>
          <w:sz w:val="28"/>
          <w:szCs w:val="28"/>
        </w:rPr>
      </w:pPr>
      <w:r w:rsidRPr="00C71DF3">
        <w:rPr>
          <w:rFonts w:asciiTheme="minorHAnsi" w:hAnsiTheme="minorHAnsi" w:cs="Times New Roman"/>
          <w:sz w:val="28"/>
          <w:szCs w:val="28"/>
        </w:rPr>
        <w:t>Proceedings presided over by Special Masters must comply with court procedures, including accessibility to the public.  Accessibility can be accomplished by use of technology.  Where the court system does not have adequate technological resources, use of private Special Masters may have the benefit of having access to technology that the courts do not.</w:t>
      </w:r>
    </w:p>
    <w:p w14:paraId="3C77975A" w14:textId="77777777" w:rsidR="004F429A" w:rsidRPr="00C71DF3" w:rsidRDefault="004F429A" w:rsidP="000835DF">
      <w:pPr>
        <w:pStyle w:val="Body"/>
        <w:rPr>
          <w:rFonts w:asciiTheme="minorHAnsi" w:eastAsia="Times New Roman" w:hAnsiTheme="minorHAnsi" w:cs="Times New Roman"/>
          <w:sz w:val="28"/>
          <w:szCs w:val="28"/>
        </w:rPr>
      </w:pPr>
    </w:p>
    <w:p w14:paraId="52F621A6" w14:textId="17462A8F" w:rsidR="002667A4" w:rsidRDefault="006E09E5" w:rsidP="000835DF">
      <w:pPr>
        <w:pStyle w:val="Body"/>
        <w:rPr>
          <w:rFonts w:asciiTheme="minorHAnsi" w:hAnsiTheme="minorHAnsi" w:cs="Times New Roman"/>
          <w:sz w:val="28"/>
          <w:szCs w:val="28"/>
        </w:rPr>
      </w:pPr>
      <w:r>
        <w:rPr>
          <w:rFonts w:asciiTheme="minorHAnsi" w:hAnsiTheme="minorHAnsi" w:cs="Times New Roman"/>
          <w:sz w:val="28"/>
          <w:szCs w:val="28"/>
        </w:rPr>
        <w:t xml:space="preserve">Those </w:t>
      </w:r>
      <w:r w:rsidR="009C6FFB" w:rsidRPr="00C71DF3">
        <w:rPr>
          <w:rFonts w:asciiTheme="minorHAnsi" w:hAnsiTheme="minorHAnsi" w:cs="Times New Roman"/>
          <w:sz w:val="28"/>
          <w:szCs w:val="28"/>
        </w:rPr>
        <w:t xml:space="preserve">who serve as Special Masters </w:t>
      </w:r>
      <w:r w:rsidR="00C165C1">
        <w:rPr>
          <w:rFonts w:asciiTheme="minorHAnsi" w:hAnsiTheme="minorHAnsi" w:cs="Times New Roman"/>
          <w:sz w:val="28"/>
          <w:szCs w:val="28"/>
        </w:rPr>
        <w:t xml:space="preserve">must </w:t>
      </w:r>
      <w:r w:rsidR="009C6FFB" w:rsidRPr="00C71DF3">
        <w:rPr>
          <w:rFonts w:asciiTheme="minorHAnsi" w:hAnsiTheme="minorHAnsi" w:cs="Times New Roman"/>
          <w:sz w:val="28"/>
          <w:szCs w:val="28"/>
        </w:rPr>
        <w:t>do conflict checks with their law practice and disclose any potential conflicts to the court and the parties</w:t>
      </w:r>
      <w:r w:rsidR="00C165C1">
        <w:rPr>
          <w:rFonts w:asciiTheme="minorHAnsi" w:hAnsiTheme="minorHAnsi" w:cs="Times New Roman"/>
          <w:sz w:val="28"/>
          <w:szCs w:val="28"/>
        </w:rPr>
        <w:t xml:space="preserve"> consistent with the rules applicable to Special Masters</w:t>
      </w:r>
      <w:r w:rsidR="00C165C1" w:rsidRPr="00C71DF3">
        <w:rPr>
          <w:rFonts w:asciiTheme="minorHAnsi" w:hAnsiTheme="minorHAnsi" w:cs="Times New Roman"/>
          <w:sz w:val="28"/>
          <w:szCs w:val="28"/>
        </w:rPr>
        <w:t>.</w:t>
      </w:r>
      <w:r w:rsidR="00C165C1">
        <w:rPr>
          <w:rFonts w:asciiTheme="minorHAnsi" w:hAnsiTheme="minorHAnsi" w:cs="Times New Roman"/>
          <w:sz w:val="28"/>
          <w:szCs w:val="28"/>
        </w:rPr>
        <w:t xml:space="preserve">  </w:t>
      </w:r>
    </w:p>
    <w:p w14:paraId="256C8A37" w14:textId="77777777" w:rsidR="002667A4" w:rsidRDefault="002667A4">
      <w:pPr>
        <w:rPr>
          <w:rFonts w:asciiTheme="minorHAnsi" w:hAnsiTheme="minorHAnsi"/>
          <w:color w:val="000000"/>
          <w:sz w:val="28"/>
          <w:szCs w:val="28"/>
          <w14:textOutline w14:w="0" w14:cap="flat" w14:cmpd="sng" w14:algn="ctr">
            <w14:noFill/>
            <w14:prstDash w14:val="solid"/>
            <w14:bevel/>
          </w14:textOutline>
        </w:rPr>
      </w:pPr>
      <w:r>
        <w:rPr>
          <w:rFonts w:asciiTheme="minorHAnsi" w:hAnsiTheme="minorHAnsi"/>
          <w:sz w:val="28"/>
          <w:szCs w:val="28"/>
        </w:rPr>
        <w:br w:type="page"/>
      </w:r>
    </w:p>
    <w:p w14:paraId="311C4FAE" w14:textId="77777777" w:rsidR="004F429A" w:rsidRPr="00C71DF3" w:rsidRDefault="004F429A" w:rsidP="000835DF">
      <w:pPr>
        <w:pStyle w:val="Body"/>
        <w:rPr>
          <w:rFonts w:asciiTheme="minorHAnsi" w:eastAsia="Times New Roman" w:hAnsiTheme="minorHAnsi" w:cs="Times New Roman"/>
          <w:sz w:val="28"/>
          <w:szCs w:val="28"/>
        </w:rPr>
      </w:pPr>
    </w:p>
    <w:p w14:paraId="4775C1DC" w14:textId="0596F590" w:rsidR="004F429A" w:rsidRDefault="004F429A" w:rsidP="000835DF">
      <w:pPr>
        <w:pStyle w:val="Body"/>
        <w:rPr>
          <w:rFonts w:asciiTheme="minorHAnsi" w:eastAsia="Times New Roman" w:hAnsiTheme="minorHAnsi" w:cs="Times New Roman"/>
          <w:sz w:val="28"/>
          <w:szCs w:val="28"/>
        </w:rPr>
      </w:pPr>
    </w:p>
    <w:p w14:paraId="0B575B86" w14:textId="4FFF3300" w:rsidR="002667A4" w:rsidRDefault="002667A4" w:rsidP="002667A4">
      <w:pPr>
        <w:pStyle w:val="Body"/>
        <w:jc w:val="center"/>
        <w:rPr>
          <w:rFonts w:asciiTheme="minorHAnsi" w:eastAsia="Times New Roman" w:hAnsiTheme="minorHAnsi" w:cs="Times New Roman"/>
          <w:sz w:val="28"/>
          <w:szCs w:val="28"/>
        </w:rPr>
      </w:pPr>
      <w:r w:rsidRPr="002667A4">
        <w:rPr>
          <w:rFonts w:asciiTheme="minorHAnsi" w:eastAsia="Times New Roman" w:hAnsiTheme="minorHAnsi" w:cs="Times New Roman"/>
          <w:b/>
          <w:bCs/>
          <w:sz w:val="28"/>
          <w:szCs w:val="28"/>
          <w:u w:val="single"/>
        </w:rPr>
        <w:t>Resource List</w:t>
      </w:r>
    </w:p>
    <w:p w14:paraId="0C546ABC" w14:textId="1D8F58B5" w:rsidR="002667A4" w:rsidRDefault="002667A4" w:rsidP="002667A4">
      <w:pPr>
        <w:pStyle w:val="Body"/>
        <w:jc w:val="center"/>
        <w:rPr>
          <w:rFonts w:asciiTheme="minorHAnsi" w:eastAsia="Times New Roman" w:hAnsiTheme="minorHAnsi" w:cs="Times New Roman"/>
          <w:sz w:val="28"/>
          <w:szCs w:val="28"/>
        </w:rPr>
      </w:pPr>
    </w:p>
    <w:p w14:paraId="18097291" w14:textId="77777777" w:rsidR="002667A4" w:rsidRPr="00CA5982" w:rsidRDefault="002667A4" w:rsidP="002667A4">
      <w:pPr>
        <w:pStyle w:val="Body"/>
        <w:rPr>
          <w:rFonts w:asciiTheme="minorHAnsi" w:hAnsiTheme="minorHAnsi" w:cs="Times New Roman"/>
          <w:sz w:val="24"/>
          <w:szCs w:val="24"/>
        </w:rPr>
      </w:pPr>
      <w:r w:rsidRPr="00CA5982">
        <w:rPr>
          <w:rFonts w:asciiTheme="minorHAnsi" w:hAnsiTheme="minorHAnsi" w:cs="Times New Roman"/>
          <w:i/>
          <w:iCs/>
          <w:sz w:val="24"/>
          <w:szCs w:val="24"/>
        </w:rPr>
        <w:t>Resource List</w:t>
      </w:r>
      <w:r w:rsidRPr="00CA5982">
        <w:rPr>
          <w:rFonts w:asciiTheme="minorHAnsi" w:hAnsiTheme="minorHAnsi" w:cs="Times New Roman"/>
          <w:sz w:val="24"/>
          <w:szCs w:val="24"/>
        </w:rPr>
        <w:t xml:space="preserve">:  </w:t>
      </w:r>
    </w:p>
    <w:p w14:paraId="3D7CEBEF" w14:textId="77777777" w:rsidR="002667A4" w:rsidRPr="00CA5982" w:rsidRDefault="002667A4" w:rsidP="002667A4">
      <w:pPr>
        <w:pStyle w:val="Body"/>
        <w:rPr>
          <w:rFonts w:asciiTheme="minorHAnsi" w:hAnsiTheme="minorHAnsi" w:cs="Times New Roman"/>
          <w:sz w:val="24"/>
          <w:szCs w:val="24"/>
        </w:rPr>
      </w:pPr>
    </w:p>
    <w:p w14:paraId="33D9DB8F" w14:textId="19746CA1" w:rsidR="00CA5982" w:rsidRPr="00CA5982" w:rsidRDefault="00CA5982" w:rsidP="00CA5982">
      <w:pPr>
        <w:pStyle w:val="Body"/>
        <w:rPr>
          <w:rFonts w:asciiTheme="minorHAnsi" w:hAnsiTheme="minorHAnsi" w:cs="Times New Roman"/>
          <w:sz w:val="24"/>
          <w:szCs w:val="24"/>
        </w:rPr>
      </w:pPr>
      <w:r w:rsidRPr="00CA5982">
        <w:rPr>
          <w:rFonts w:asciiTheme="minorHAnsi" w:hAnsiTheme="minorHAnsi" w:cs="Times New Roman"/>
          <w:sz w:val="24"/>
          <w:szCs w:val="24"/>
        </w:rPr>
        <w:t>ABA</w:t>
      </w:r>
      <w:r w:rsidRPr="00CA5982">
        <w:rPr>
          <w:rFonts w:asciiTheme="minorHAnsi" w:hAnsiTheme="minorHAnsi" w:cs="Times New Roman"/>
          <w:i/>
          <w:iCs/>
          <w:sz w:val="24"/>
          <w:szCs w:val="24"/>
        </w:rPr>
        <w:t xml:space="preserve"> </w:t>
      </w:r>
      <w:r w:rsidRPr="00CA5982">
        <w:rPr>
          <w:rFonts w:asciiTheme="minorHAnsi" w:hAnsiTheme="minorHAnsi" w:cs="Times New Roman"/>
          <w:sz w:val="24"/>
          <w:szCs w:val="24"/>
        </w:rPr>
        <w:t xml:space="preserve">Resolution 100 (adopting Guidelines for the Appointment and Use of Special Masters in Federal and State Court Civil Litigation), January 28, 2019, </w:t>
      </w:r>
      <w:r w:rsidRPr="00CA5982">
        <w:rPr>
          <w:rFonts w:asciiTheme="minorHAnsi" w:hAnsiTheme="minorHAnsi" w:cs="Times New Roman"/>
          <w:i/>
          <w:iCs/>
          <w:sz w:val="24"/>
          <w:szCs w:val="24"/>
        </w:rPr>
        <w:t>especially</w:t>
      </w:r>
      <w:r w:rsidRPr="00CA5982">
        <w:rPr>
          <w:rFonts w:asciiTheme="minorHAnsi" w:hAnsiTheme="minorHAnsi" w:cs="Times New Roman"/>
          <w:sz w:val="24"/>
          <w:szCs w:val="24"/>
        </w:rPr>
        <w:t xml:space="preserve"> Guidelines 2, 3, 5</w:t>
      </w:r>
      <w:r w:rsidRPr="00CA5982">
        <w:rPr>
          <w:rFonts w:asciiTheme="minorHAnsi" w:hAnsiTheme="minorHAnsi" w:cs="Times New Roman"/>
          <w:i/>
          <w:iCs/>
          <w:sz w:val="24"/>
          <w:szCs w:val="24"/>
        </w:rPr>
        <w:t xml:space="preserve"> </w:t>
      </w:r>
      <w:hyperlink r:id="rId7" w:history="1">
        <w:r w:rsidRPr="00CA5982">
          <w:rPr>
            <w:rStyle w:val="Hyperlink"/>
            <w:rFonts w:asciiTheme="minorHAnsi" w:hAnsiTheme="minorHAnsi" w:cs="Times New Roman"/>
            <w:i/>
            <w:iCs/>
            <w:sz w:val="24"/>
            <w:szCs w:val="24"/>
          </w:rPr>
          <w:t>https://www.ameri</w:t>
        </w:r>
        <w:r w:rsidRPr="00CA5982">
          <w:rPr>
            <w:rStyle w:val="Hyperlink"/>
            <w:rFonts w:asciiTheme="minorHAnsi" w:hAnsiTheme="minorHAnsi" w:cs="Times New Roman"/>
            <w:i/>
            <w:iCs/>
            <w:sz w:val="24"/>
            <w:szCs w:val="24"/>
          </w:rPr>
          <w:t>canbar.org/content/dam/aba/images/news/2019mymhodres/100.pdf</w:t>
        </w:r>
      </w:hyperlink>
    </w:p>
    <w:p w14:paraId="47C8DC55" w14:textId="77777777" w:rsidR="00CA5982" w:rsidRPr="00CA5982" w:rsidRDefault="00CA5982" w:rsidP="00CA5982">
      <w:pPr>
        <w:pStyle w:val="Body"/>
        <w:rPr>
          <w:rFonts w:asciiTheme="minorHAnsi" w:eastAsia="Times New Roman" w:hAnsiTheme="minorHAnsi" w:cs="Times New Roman"/>
          <w:sz w:val="24"/>
          <w:szCs w:val="24"/>
        </w:rPr>
      </w:pPr>
    </w:p>
    <w:p w14:paraId="323C4B05" w14:textId="6ECE8CD7" w:rsidR="0019432B" w:rsidRPr="0019432B" w:rsidRDefault="0019432B" w:rsidP="00CA5982">
      <w:pPr>
        <w:pStyle w:val="Body"/>
        <w:rPr>
          <w:rFonts w:asciiTheme="minorHAnsi" w:hAnsiTheme="minorHAnsi"/>
          <w:sz w:val="24"/>
          <w:szCs w:val="24"/>
        </w:rPr>
      </w:pPr>
      <w:r w:rsidRPr="00CA5982">
        <w:rPr>
          <w:rFonts w:asciiTheme="minorHAnsi" w:hAnsiTheme="minorHAnsi"/>
          <w:sz w:val="24"/>
          <w:szCs w:val="24"/>
        </w:rPr>
        <w:t xml:space="preserve">Professor Nancy Welsh and Merril Hirsh, “A Tool To Help Courts:  Special Masters, recorded presentation for the Ohio Supreme Court 2020 Dispute Resolution Conference, Columbus, Ohio (Mar. 10, 2020) </w:t>
      </w:r>
      <w:hyperlink r:id="rId8" w:history="1">
        <w:r w:rsidR="001F6D7B">
          <w:rPr>
            <w:rStyle w:val="Hyperlink"/>
          </w:rPr>
          <w:t>https://www.</w:t>
        </w:r>
        <w:r w:rsidR="001F6D7B">
          <w:rPr>
            <w:rStyle w:val="Hyperlink"/>
          </w:rPr>
          <w:t>youtube.com/watch?v=kF9CJUvMgQo&amp;list=PLLMMZAktESmQrN3Qd9F5ZHL_5wiAh55ml&amp;index=3&amp;t=0s</w:t>
        </w:r>
      </w:hyperlink>
    </w:p>
    <w:p w14:paraId="5A691A65" w14:textId="77777777" w:rsidR="0019432B" w:rsidRDefault="0019432B" w:rsidP="00CA5982">
      <w:pPr>
        <w:pStyle w:val="Body"/>
        <w:rPr>
          <w:rFonts w:asciiTheme="minorHAnsi" w:eastAsia="Times New Roman" w:hAnsiTheme="minorHAnsi" w:cs="Times New Roman"/>
          <w:b/>
          <w:bCs/>
          <w:sz w:val="24"/>
          <w:szCs w:val="24"/>
        </w:rPr>
      </w:pPr>
    </w:p>
    <w:p w14:paraId="2FDAF5A8" w14:textId="43925142" w:rsidR="00CA5982" w:rsidRPr="0019432B" w:rsidRDefault="0019432B" w:rsidP="00CA5982">
      <w:pPr>
        <w:pStyle w:val="Body"/>
        <w:rPr>
          <w:rFonts w:asciiTheme="minorHAnsi" w:eastAsia="Times New Roman" w:hAnsiTheme="minorHAnsi" w:cs="Times New Roman"/>
          <w:b/>
          <w:bCs/>
          <w:sz w:val="24"/>
          <w:szCs w:val="24"/>
        </w:rPr>
      </w:pPr>
      <w:r w:rsidRPr="0019432B">
        <w:rPr>
          <w:rFonts w:asciiTheme="minorHAnsi" w:eastAsia="Times New Roman" w:hAnsiTheme="minorHAnsi" w:cs="Times New Roman"/>
          <w:b/>
          <w:bCs/>
          <w:sz w:val="24"/>
          <w:szCs w:val="24"/>
        </w:rPr>
        <w:t xml:space="preserve">General Compendium of Information on Authority, Issues for Appointment, Use of Special Masters </w:t>
      </w:r>
      <w:r>
        <w:rPr>
          <w:rFonts w:asciiTheme="minorHAnsi" w:eastAsia="Times New Roman" w:hAnsiTheme="minorHAnsi" w:cs="Times New Roman"/>
          <w:b/>
          <w:bCs/>
          <w:sz w:val="24"/>
          <w:szCs w:val="24"/>
        </w:rPr>
        <w:t>and Ethics</w:t>
      </w:r>
    </w:p>
    <w:p w14:paraId="1F8317A6" w14:textId="77777777" w:rsidR="00CA5982" w:rsidRDefault="00CA5982" w:rsidP="00CA5982">
      <w:pPr>
        <w:pStyle w:val="Body"/>
        <w:rPr>
          <w:rFonts w:asciiTheme="minorHAnsi" w:eastAsia="Times New Roman" w:hAnsiTheme="minorHAnsi" w:cs="Times New Roman"/>
          <w:sz w:val="24"/>
          <w:szCs w:val="24"/>
        </w:rPr>
      </w:pPr>
    </w:p>
    <w:p w14:paraId="7FB98B7B" w14:textId="2DD00B2D" w:rsidR="00CA5982" w:rsidRPr="002550A8" w:rsidRDefault="00CA5982" w:rsidP="00CA5982">
      <w:pPr>
        <w:pStyle w:val="Body"/>
        <w:rPr>
          <w:rFonts w:asciiTheme="minorHAnsi" w:eastAsia="Times New Roman" w:hAnsiTheme="minorHAnsi" w:cs="Times New Roman"/>
          <w:color w:val="auto"/>
          <w:sz w:val="24"/>
          <w:szCs w:val="24"/>
        </w:rPr>
      </w:pPr>
      <w:r w:rsidRPr="00CA5982">
        <w:rPr>
          <w:rFonts w:asciiTheme="minorHAnsi" w:eastAsia="Times New Roman" w:hAnsiTheme="minorHAnsi" w:cs="Times New Roman"/>
          <w:sz w:val="24"/>
          <w:szCs w:val="24"/>
        </w:rPr>
        <w:t xml:space="preserve">Academy of Court Appointed Masters, “Appointing Special Masters and Other Judicial Adjuncts,” </w:t>
      </w:r>
      <w:hyperlink r:id="rId9" w:history="1">
        <w:r w:rsidR="00430AB7" w:rsidRPr="002550A8">
          <w:rPr>
            <w:rStyle w:val="Hyperlink"/>
            <w:rFonts w:asciiTheme="majorHAnsi" w:hAnsiTheme="majorHAnsi" w:cs="Arial"/>
            <w:color w:val="auto"/>
            <w:sz w:val="24"/>
            <w:szCs w:val="24"/>
          </w:rPr>
          <w:t>https://www.courtappointedmasters.org/acam/assets/File/public/handbook/web_final_acam_benchbook_jan_2020.pd</w:t>
        </w:r>
        <w:r w:rsidR="00430AB7" w:rsidRPr="002550A8">
          <w:rPr>
            <w:rStyle w:val="Hyperlink"/>
            <w:rFonts w:asciiTheme="majorHAnsi" w:hAnsiTheme="majorHAnsi" w:cs="Arial"/>
            <w:color w:val="auto"/>
            <w:sz w:val="24"/>
            <w:szCs w:val="24"/>
          </w:rPr>
          <w:t>f</w:t>
        </w:r>
      </w:hyperlink>
      <w:r w:rsidRPr="002550A8">
        <w:rPr>
          <w:rFonts w:asciiTheme="majorHAnsi" w:eastAsia="Times New Roman" w:hAnsiTheme="majorHAnsi" w:cs="Times New Roman"/>
          <w:color w:val="auto"/>
          <w:sz w:val="26"/>
          <w:szCs w:val="28"/>
        </w:rPr>
        <w:t xml:space="preserve"> </w:t>
      </w:r>
    </w:p>
    <w:p w14:paraId="672C5356" w14:textId="2A8606ED" w:rsidR="00971088" w:rsidRDefault="00971088" w:rsidP="00CA5982">
      <w:pPr>
        <w:pStyle w:val="Body"/>
        <w:rPr>
          <w:rFonts w:asciiTheme="minorHAnsi" w:eastAsia="Times New Roman" w:hAnsiTheme="minorHAnsi" w:cs="Times New Roman"/>
          <w:sz w:val="24"/>
          <w:szCs w:val="24"/>
        </w:rPr>
      </w:pPr>
    </w:p>
    <w:p w14:paraId="367F7D52" w14:textId="5A9E70E0" w:rsidR="00D44502" w:rsidRDefault="00971088" w:rsidP="00CA5982">
      <w:pPr>
        <w:pStyle w:val="Body"/>
        <w:rPr>
          <w:rFonts w:asciiTheme="minorHAnsi" w:eastAsia="Times New Roman" w:hAnsiTheme="minorHAnsi" w:cs="Times New Roman"/>
          <w:sz w:val="24"/>
          <w:szCs w:val="24"/>
        </w:rPr>
      </w:pPr>
      <w:r>
        <w:rPr>
          <w:rFonts w:asciiTheme="minorHAnsi" w:eastAsia="Times New Roman" w:hAnsiTheme="minorHAnsi" w:cs="Times New Roman"/>
          <w:i/>
          <w:iCs/>
          <w:sz w:val="24"/>
          <w:szCs w:val="24"/>
        </w:rPr>
        <w:t>See also id.</w:t>
      </w:r>
      <w:r>
        <w:rPr>
          <w:rFonts w:asciiTheme="minorHAnsi" w:eastAsia="Times New Roman" w:hAnsiTheme="minorHAnsi" w:cs="Times New Roman"/>
          <w:sz w:val="24"/>
          <w:szCs w:val="24"/>
        </w:rPr>
        <w:t xml:space="preserve"> at </w:t>
      </w:r>
      <w:r w:rsidR="00430AB7">
        <w:rPr>
          <w:rFonts w:asciiTheme="minorHAnsi" w:eastAsia="Times New Roman" w:hAnsiTheme="minorHAnsi" w:cs="Times New Roman"/>
          <w:sz w:val="24"/>
          <w:szCs w:val="24"/>
        </w:rPr>
        <w:t>23-67</w:t>
      </w:r>
      <w:r>
        <w:rPr>
          <w:rFonts w:asciiTheme="minorHAnsi" w:eastAsia="Times New Roman" w:hAnsiTheme="minorHAnsi" w:cs="Times New Roman"/>
          <w:sz w:val="24"/>
          <w:szCs w:val="24"/>
        </w:rPr>
        <w:t xml:space="preserve"> (compiling </w:t>
      </w:r>
      <w:r w:rsidR="00430AB7">
        <w:rPr>
          <w:rFonts w:asciiTheme="minorHAnsi" w:eastAsia="Times New Roman" w:hAnsiTheme="minorHAnsi" w:cs="Times New Roman"/>
          <w:sz w:val="24"/>
          <w:szCs w:val="24"/>
        </w:rPr>
        <w:t xml:space="preserve">books and </w:t>
      </w:r>
      <w:r>
        <w:rPr>
          <w:rFonts w:asciiTheme="minorHAnsi" w:eastAsia="Times New Roman" w:hAnsiTheme="minorHAnsi" w:cs="Times New Roman"/>
          <w:sz w:val="24"/>
          <w:szCs w:val="24"/>
        </w:rPr>
        <w:t xml:space="preserve">articles up to 2005 on the use of special masters). </w:t>
      </w:r>
    </w:p>
    <w:p w14:paraId="0B5D2495" w14:textId="0F512E7D" w:rsidR="00D44502" w:rsidRDefault="00D44502" w:rsidP="00CA5982">
      <w:pPr>
        <w:pStyle w:val="Body"/>
        <w:rPr>
          <w:rFonts w:asciiTheme="minorHAnsi" w:eastAsia="Times New Roman" w:hAnsiTheme="minorHAnsi" w:cs="Times New Roman"/>
          <w:sz w:val="24"/>
          <w:szCs w:val="24"/>
        </w:rPr>
      </w:pPr>
    </w:p>
    <w:p w14:paraId="38713A64" w14:textId="097A7103" w:rsidR="00D44502" w:rsidRPr="00D44502" w:rsidRDefault="00D44502" w:rsidP="00CA5982">
      <w:pPr>
        <w:pStyle w:val="Body"/>
        <w:rPr>
          <w:rFonts w:asciiTheme="minorHAnsi" w:eastAsia="Times New Roman" w:hAnsiTheme="minorHAnsi" w:cs="Times New Roman"/>
          <w:sz w:val="24"/>
          <w:szCs w:val="24"/>
        </w:rPr>
      </w:pPr>
      <w:r>
        <w:rPr>
          <w:rFonts w:asciiTheme="minorHAnsi" w:eastAsia="Times New Roman" w:hAnsiTheme="minorHAnsi" w:cs="Times New Roman"/>
          <w:i/>
          <w:iCs/>
          <w:sz w:val="24"/>
          <w:szCs w:val="24"/>
        </w:rPr>
        <w:t>See also id.</w:t>
      </w:r>
      <w:r>
        <w:rPr>
          <w:rFonts w:asciiTheme="minorHAnsi" w:eastAsia="Times New Roman" w:hAnsiTheme="minorHAnsi" w:cs="Times New Roman"/>
          <w:sz w:val="24"/>
          <w:szCs w:val="24"/>
        </w:rPr>
        <w:t xml:space="preserve"> at 69-83 (including sample orders for the appointment of special masters).</w:t>
      </w:r>
    </w:p>
    <w:p w14:paraId="0461B7EE" w14:textId="77777777" w:rsidR="00CA5982" w:rsidRDefault="00CA5982" w:rsidP="002667A4">
      <w:pPr>
        <w:pStyle w:val="Body"/>
        <w:rPr>
          <w:rFonts w:asciiTheme="minorHAnsi" w:hAnsiTheme="minorHAnsi" w:cs="Times New Roman"/>
          <w:b/>
          <w:bCs/>
          <w:sz w:val="24"/>
          <w:szCs w:val="24"/>
        </w:rPr>
      </w:pPr>
    </w:p>
    <w:p w14:paraId="7C73FFB2" w14:textId="0F75BD7A" w:rsidR="002667A4" w:rsidRPr="00CA5982" w:rsidRDefault="00C165C1" w:rsidP="002667A4">
      <w:pPr>
        <w:pStyle w:val="Body"/>
        <w:rPr>
          <w:rFonts w:asciiTheme="minorHAnsi" w:hAnsiTheme="minorHAnsi" w:cs="Times New Roman"/>
          <w:b/>
          <w:bCs/>
          <w:sz w:val="24"/>
          <w:szCs w:val="24"/>
        </w:rPr>
      </w:pPr>
      <w:r>
        <w:rPr>
          <w:rFonts w:asciiTheme="minorHAnsi" w:hAnsiTheme="minorHAnsi" w:cs="Times New Roman"/>
          <w:b/>
          <w:bCs/>
          <w:sz w:val="24"/>
          <w:szCs w:val="24"/>
        </w:rPr>
        <w:t>Authority</w:t>
      </w:r>
      <w:r w:rsidR="002667A4" w:rsidRPr="00CA5982">
        <w:rPr>
          <w:rFonts w:asciiTheme="minorHAnsi" w:hAnsiTheme="minorHAnsi" w:cs="Times New Roman"/>
          <w:b/>
          <w:bCs/>
          <w:sz w:val="24"/>
          <w:szCs w:val="24"/>
        </w:rPr>
        <w:t xml:space="preserve"> for the use of special masters in various jurisdictions.</w:t>
      </w:r>
    </w:p>
    <w:p w14:paraId="092541A2" w14:textId="77777777" w:rsidR="002667A4" w:rsidRPr="00CA5982" w:rsidRDefault="002667A4" w:rsidP="002667A4">
      <w:pPr>
        <w:pStyle w:val="Body"/>
        <w:rPr>
          <w:rFonts w:asciiTheme="minorHAnsi" w:hAnsiTheme="minorHAnsi" w:cs="Times New Roman"/>
          <w:sz w:val="24"/>
          <w:szCs w:val="24"/>
        </w:rPr>
      </w:pPr>
    </w:p>
    <w:p w14:paraId="6F3F8879" w14:textId="6BFB551F" w:rsidR="00C91358" w:rsidRDefault="00C91358" w:rsidP="00C91358">
      <w:pPr>
        <w:pStyle w:val="Body"/>
        <w:rPr>
          <w:rFonts w:asciiTheme="minorHAnsi" w:hAnsiTheme="minorHAnsi" w:cs="Times New Roman"/>
          <w:sz w:val="24"/>
          <w:szCs w:val="24"/>
        </w:rPr>
      </w:pPr>
      <w:r>
        <w:rPr>
          <w:rFonts w:asciiTheme="minorHAnsi" w:hAnsiTheme="minorHAnsi" w:cs="Times New Roman"/>
          <w:sz w:val="24"/>
          <w:szCs w:val="24"/>
        </w:rPr>
        <w:t xml:space="preserve">Inherent authority of federal courts and its limits:  </w:t>
      </w:r>
      <w:r>
        <w:rPr>
          <w:rFonts w:asciiTheme="minorHAnsi" w:hAnsiTheme="minorHAnsi" w:cs="Times New Roman"/>
          <w:i/>
          <w:iCs/>
          <w:sz w:val="24"/>
          <w:szCs w:val="24"/>
        </w:rPr>
        <w:t xml:space="preserve">See, e.g., </w:t>
      </w:r>
      <w:r w:rsidRPr="00C91358">
        <w:rPr>
          <w:rFonts w:asciiTheme="minorHAnsi" w:hAnsiTheme="minorHAnsi" w:cs="Times New Roman"/>
          <w:i/>
          <w:iCs/>
          <w:sz w:val="24"/>
          <w:szCs w:val="24"/>
        </w:rPr>
        <w:t>Ruiz v. Estelle</w:t>
      </w:r>
      <w:r w:rsidRPr="00C91358">
        <w:rPr>
          <w:rFonts w:asciiTheme="minorHAnsi" w:hAnsiTheme="minorHAnsi" w:cs="Times New Roman"/>
          <w:sz w:val="24"/>
          <w:szCs w:val="24"/>
        </w:rPr>
        <w:t xml:space="preserve">, 679 F.2d 1115, 116 n.240 (5th Cir. 1982), </w:t>
      </w:r>
      <w:r w:rsidRPr="00C91358">
        <w:rPr>
          <w:rFonts w:asciiTheme="minorHAnsi" w:hAnsiTheme="minorHAnsi" w:cs="Times New Roman"/>
          <w:i/>
          <w:iCs/>
          <w:sz w:val="24"/>
          <w:szCs w:val="24"/>
        </w:rPr>
        <w:t>amended in part, vacated in part</w:t>
      </w:r>
      <w:r w:rsidRPr="00C91358">
        <w:rPr>
          <w:rFonts w:asciiTheme="minorHAnsi" w:hAnsiTheme="minorHAnsi" w:cs="Times New Roman"/>
          <w:sz w:val="24"/>
          <w:szCs w:val="24"/>
        </w:rPr>
        <w:t xml:space="preserve">, 688 F.2d 266 (5th Cir. 1982), </w:t>
      </w:r>
      <w:r w:rsidRPr="00C91358">
        <w:rPr>
          <w:rFonts w:asciiTheme="minorHAnsi" w:hAnsiTheme="minorHAnsi" w:cs="Times New Roman"/>
          <w:i/>
          <w:iCs/>
          <w:sz w:val="24"/>
          <w:szCs w:val="24"/>
        </w:rPr>
        <w:t>cert. denied</w:t>
      </w:r>
      <w:r w:rsidRPr="00C91358">
        <w:rPr>
          <w:rFonts w:asciiTheme="minorHAnsi" w:hAnsiTheme="minorHAnsi" w:cs="Times New Roman"/>
          <w:sz w:val="24"/>
          <w:szCs w:val="24"/>
        </w:rPr>
        <w:t>, 460 U.S. 1042 (1983);</w:t>
      </w:r>
      <w:r>
        <w:rPr>
          <w:rFonts w:asciiTheme="minorHAnsi" w:hAnsiTheme="minorHAnsi" w:cs="Times New Roman"/>
          <w:sz w:val="24"/>
          <w:szCs w:val="24"/>
        </w:rPr>
        <w:t xml:space="preserve"> </w:t>
      </w:r>
      <w:r w:rsidRPr="00C91358">
        <w:rPr>
          <w:rFonts w:asciiTheme="minorHAnsi" w:hAnsiTheme="minorHAnsi" w:cs="Times New Roman"/>
          <w:i/>
          <w:iCs/>
          <w:sz w:val="24"/>
          <w:szCs w:val="24"/>
        </w:rPr>
        <w:t>Reed v. Cleveland Bd. of Educ.</w:t>
      </w:r>
      <w:r w:rsidRPr="00C91358">
        <w:rPr>
          <w:rFonts w:asciiTheme="minorHAnsi" w:hAnsiTheme="minorHAnsi" w:cs="Times New Roman"/>
          <w:sz w:val="24"/>
          <w:szCs w:val="24"/>
        </w:rPr>
        <w:t>, 607 F.2d 737, 746 (6th Cir. 1979)</w:t>
      </w:r>
      <w:r>
        <w:rPr>
          <w:rFonts w:asciiTheme="minorHAnsi" w:hAnsiTheme="minorHAnsi" w:cs="Times New Roman"/>
          <w:sz w:val="24"/>
          <w:szCs w:val="24"/>
        </w:rPr>
        <w:t xml:space="preserve">; </w:t>
      </w:r>
      <w:r w:rsidRPr="00C91358">
        <w:rPr>
          <w:rFonts w:asciiTheme="minorHAnsi" w:hAnsiTheme="minorHAnsi" w:cs="Times New Roman"/>
          <w:i/>
          <w:iCs/>
          <w:sz w:val="24"/>
          <w:szCs w:val="24"/>
        </w:rPr>
        <w:t>Schwimmer v. United States</w:t>
      </w:r>
      <w:r w:rsidRPr="00C91358">
        <w:rPr>
          <w:rFonts w:asciiTheme="minorHAnsi" w:hAnsiTheme="minorHAnsi" w:cs="Times New Roman"/>
          <w:sz w:val="24"/>
          <w:szCs w:val="24"/>
        </w:rPr>
        <w:t>, 232</w:t>
      </w:r>
      <w:r>
        <w:rPr>
          <w:rFonts w:asciiTheme="minorHAnsi" w:hAnsiTheme="minorHAnsi" w:cs="Times New Roman"/>
          <w:sz w:val="24"/>
          <w:szCs w:val="24"/>
        </w:rPr>
        <w:t xml:space="preserve"> </w:t>
      </w:r>
      <w:r w:rsidRPr="00C91358">
        <w:rPr>
          <w:rFonts w:asciiTheme="minorHAnsi" w:hAnsiTheme="minorHAnsi" w:cs="Times New Roman"/>
          <w:sz w:val="24"/>
          <w:szCs w:val="24"/>
        </w:rPr>
        <w:t>F.2d 855, 865 (8th Cir. 1956)</w:t>
      </w:r>
      <w:r>
        <w:rPr>
          <w:rFonts w:asciiTheme="minorHAnsi" w:hAnsiTheme="minorHAnsi" w:cs="Times New Roman"/>
          <w:sz w:val="24"/>
          <w:szCs w:val="24"/>
        </w:rPr>
        <w:t xml:space="preserve">; </w:t>
      </w:r>
      <w:r w:rsidRPr="00C91358">
        <w:rPr>
          <w:rFonts w:asciiTheme="minorHAnsi" w:hAnsiTheme="minorHAnsi" w:cs="Times New Roman"/>
          <w:i/>
          <w:iCs/>
          <w:sz w:val="24"/>
          <w:szCs w:val="24"/>
        </w:rPr>
        <w:t>United States v. Black</w:t>
      </w:r>
      <w:r w:rsidRPr="00C91358">
        <w:rPr>
          <w:rFonts w:asciiTheme="minorHAnsi" w:hAnsiTheme="minorHAnsi" w:cs="Times New Roman"/>
          <w:sz w:val="24"/>
          <w:szCs w:val="24"/>
        </w:rPr>
        <w:t>, No. 16-20032-JAR, 2016 WL 6967120, at *3 (D. Kan. Nov. 29, 2016)</w:t>
      </w:r>
      <w:r>
        <w:rPr>
          <w:rFonts w:asciiTheme="minorHAnsi" w:hAnsiTheme="minorHAnsi" w:cs="Times New Roman"/>
          <w:sz w:val="24"/>
          <w:szCs w:val="24"/>
        </w:rPr>
        <w:t xml:space="preserve">; </w:t>
      </w:r>
      <w:r w:rsidRPr="00C91358">
        <w:rPr>
          <w:rFonts w:asciiTheme="minorHAnsi" w:hAnsiTheme="minorHAnsi" w:cs="Times New Roman"/>
          <w:i/>
          <w:iCs/>
          <w:sz w:val="24"/>
          <w:szCs w:val="24"/>
        </w:rPr>
        <w:t>Regents of the Univ. of Cal. v. Micro Therapeutics, Inc.</w:t>
      </w:r>
      <w:r w:rsidRPr="00C91358">
        <w:rPr>
          <w:rFonts w:asciiTheme="minorHAnsi" w:hAnsiTheme="minorHAnsi" w:cs="Times New Roman"/>
          <w:sz w:val="24"/>
          <w:szCs w:val="24"/>
        </w:rPr>
        <w:t>, No. C 03-05669 JW, 2006 WL 1469698, at *1 (N.D. Cal. May 26, 2006).</w:t>
      </w:r>
      <w:r>
        <w:rPr>
          <w:rFonts w:asciiTheme="minorHAnsi" w:hAnsiTheme="minorHAnsi" w:cs="Times New Roman"/>
          <w:sz w:val="24"/>
          <w:szCs w:val="24"/>
        </w:rPr>
        <w:t xml:space="preserve">  </w:t>
      </w:r>
      <w:r>
        <w:rPr>
          <w:rFonts w:asciiTheme="minorHAnsi" w:hAnsiTheme="minorHAnsi" w:cs="Times New Roman"/>
          <w:i/>
          <w:iCs/>
          <w:sz w:val="24"/>
          <w:szCs w:val="24"/>
        </w:rPr>
        <w:t xml:space="preserve">See also </w:t>
      </w:r>
      <w:r w:rsidRPr="00C91358">
        <w:rPr>
          <w:rFonts w:asciiTheme="minorHAnsi" w:hAnsiTheme="minorHAnsi" w:cs="Times New Roman"/>
          <w:i/>
          <w:iCs/>
          <w:sz w:val="24"/>
          <w:szCs w:val="24"/>
        </w:rPr>
        <w:t>Cobell v. Norton</w:t>
      </w:r>
      <w:r w:rsidRPr="00C91358">
        <w:rPr>
          <w:rFonts w:asciiTheme="minorHAnsi" w:hAnsiTheme="minorHAnsi" w:cs="Times New Roman"/>
          <w:sz w:val="24"/>
          <w:szCs w:val="24"/>
        </w:rPr>
        <w:t>, 334 F.3d 1128, 1142 (D.C. Cir. 2003) (in the absence of consent by the parties, the inherent authority of the court does not</w:t>
      </w:r>
      <w:r>
        <w:rPr>
          <w:rFonts w:asciiTheme="minorHAnsi" w:hAnsiTheme="minorHAnsi" w:cs="Times New Roman"/>
          <w:sz w:val="24"/>
          <w:szCs w:val="24"/>
        </w:rPr>
        <w:t xml:space="preserve"> </w:t>
      </w:r>
      <w:r w:rsidRPr="00C91358">
        <w:rPr>
          <w:rFonts w:asciiTheme="minorHAnsi" w:hAnsiTheme="minorHAnsi" w:cs="Times New Roman"/>
          <w:sz w:val="24"/>
          <w:szCs w:val="24"/>
        </w:rPr>
        <w:t>extend to allow appointment of a special master to exercise “wide-ranging extrajudicial</w:t>
      </w:r>
      <w:r>
        <w:rPr>
          <w:rFonts w:asciiTheme="minorHAnsi" w:hAnsiTheme="minorHAnsi" w:cs="Times New Roman"/>
          <w:sz w:val="24"/>
          <w:szCs w:val="24"/>
        </w:rPr>
        <w:t xml:space="preserve"> </w:t>
      </w:r>
      <w:r w:rsidRPr="00C91358">
        <w:rPr>
          <w:rFonts w:asciiTheme="minorHAnsi" w:hAnsiTheme="minorHAnsi" w:cs="Times New Roman"/>
          <w:sz w:val="24"/>
          <w:szCs w:val="24"/>
        </w:rPr>
        <w:t>duties” such as “investigative, quasi-inquisitorial, quasi-prosecutorial role[s]”).</w:t>
      </w:r>
    </w:p>
    <w:p w14:paraId="49B5BB4D" w14:textId="77777777" w:rsidR="00C91358" w:rsidRDefault="00C91358" w:rsidP="002667A4">
      <w:pPr>
        <w:pStyle w:val="Body"/>
        <w:rPr>
          <w:rFonts w:asciiTheme="minorHAnsi" w:hAnsiTheme="minorHAnsi" w:cs="Times New Roman"/>
          <w:sz w:val="24"/>
          <w:szCs w:val="24"/>
        </w:rPr>
      </w:pPr>
    </w:p>
    <w:p w14:paraId="7553A1F7" w14:textId="7DE6C05D" w:rsidR="002667A4" w:rsidRDefault="002667A4" w:rsidP="002667A4">
      <w:pPr>
        <w:pStyle w:val="Body"/>
        <w:rPr>
          <w:rFonts w:asciiTheme="minorHAnsi" w:hAnsiTheme="minorHAnsi" w:cs="Times New Roman"/>
          <w:sz w:val="24"/>
          <w:szCs w:val="24"/>
        </w:rPr>
      </w:pPr>
      <w:r w:rsidRPr="00CA5982">
        <w:rPr>
          <w:rFonts w:asciiTheme="minorHAnsi" w:hAnsiTheme="minorHAnsi" w:cs="Times New Roman"/>
          <w:sz w:val="24"/>
          <w:szCs w:val="24"/>
        </w:rPr>
        <w:t>Federal Rule of Civil Procedure 53</w:t>
      </w:r>
    </w:p>
    <w:p w14:paraId="12F4B6E1" w14:textId="40F8C8A0" w:rsidR="00C91358" w:rsidRDefault="00C91358" w:rsidP="002667A4">
      <w:pPr>
        <w:pStyle w:val="Body"/>
        <w:rPr>
          <w:rFonts w:asciiTheme="minorHAnsi" w:hAnsiTheme="minorHAnsi" w:cs="Times New Roman"/>
          <w:sz w:val="24"/>
          <w:szCs w:val="24"/>
        </w:rPr>
      </w:pPr>
    </w:p>
    <w:p w14:paraId="2D2D1CAD" w14:textId="32F2A446" w:rsidR="002667A4" w:rsidRPr="00430AB7" w:rsidRDefault="00430AB7" w:rsidP="002667A4">
      <w:pPr>
        <w:rPr>
          <w:rFonts w:asciiTheme="majorHAnsi" w:hAnsiTheme="majorHAnsi"/>
          <w14:textOutline w14:w="0" w14:cap="flat" w14:cmpd="sng" w14:algn="ctr">
            <w14:noFill/>
            <w14:prstDash w14:val="solid"/>
            <w14:bevel/>
          </w14:textOutline>
        </w:rPr>
      </w:pPr>
      <w:r>
        <w:rPr>
          <w:rFonts w:asciiTheme="majorHAnsi" w:hAnsiTheme="majorHAnsi" w:cs="Arial"/>
        </w:rPr>
        <w:lastRenderedPageBreak/>
        <w:t>A</w:t>
      </w:r>
      <w:r w:rsidR="00526795">
        <w:rPr>
          <w:rFonts w:asciiTheme="majorHAnsi" w:hAnsiTheme="majorHAnsi" w:cs="Arial"/>
        </w:rPr>
        <w:t xml:space="preserve">cademy of Court Appointed Masters </w:t>
      </w:r>
      <w:r>
        <w:rPr>
          <w:rFonts w:asciiTheme="majorHAnsi" w:hAnsiTheme="majorHAnsi" w:cs="Arial"/>
        </w:rPr>
        <w:t xml:space="preserve">Benchbook: </w:t>
      </w:r>
      <w:hyperlink r:id="rId10" w:history="1">
        <w:r w:rsidRPr="00740996">
          <w:rPr>
            <w:rStyle w:val="Hyperlink"/>
            <w:rFonts w:asciiTheme="majorHAnsi" w:hAnsiTheme="majorHAnsi" w:cs="Arial"/>
          </w:rPr>
          <w:t>https://www.courtappointedmasters.org/acam/assets/File/public/handbook/web_final_acam_benchbook_jan_2020.pdf</w:t>
        </w:r>
      </w:hyperlink>
      <w:r w:rsidRPr="00430AB7">
        <w:rPr>
          <w:rFonts w:asciiTheme="majorHAnsi" w:hAnsiTheme="majorHAnsi" w:cs="Arial"/>
        </w:rPr>
        <w:t xml:space="preserve"> </w:t>
      </w:r>
      <w:r w:rsidR="002667A4" w:rsidRPr="00430AB7">
        <w:rPr>
          <w:rFonts w:asciiTheme="majorHAnsi" w:hAnsiTheme="majorHAnsi"/>
          <w14:textOutline w14:w="0" w14:cap="flat" w14:cmpd="sng" w14:algn="ctr">
            <w14:noFill/>
            <w14:prstDash w14:val="solid"/>
            <w14:bevel/>
          </w14:textOutline>
        </w:rPr>
        <w:t xml:space="preserve">at </w:t>
      </w:r>
      <w:r w:rsidRPr="00430AB7">
        <w:rPr>
          <w:rFonts w:asciiTheme="majorHAnsi" w:hAnsiTheme="majorHAnsi"/>
          <w14:textOutline w14:w="0" w14:cap="flat" w14:cmpd="sng" w14:algn="ctr">
            <w14:noFill/>
            <w14:prstDash w14:val="solid"/>
            <w14:bevel/>
          </w14:textOutline>
        </w:rPr>
        <w:t>44</w:t>
      </w:r>
      <w:r w:rsidR="002667A4" w:rsidRPr="00430AB7">
        <w:rPr>
          <w:rFonts w:asciiTheme="majorHAnsi" w:hAnsiTheme="majorHAnsi"/>
          <w14:textOutline w14:w="0" w14:cap="flat" w14:cmpd="sng" w14:algn="ctr">
            <w14:noFill/>
            <w14:prstDash w14:val="solid"/>
            <w14:bevel/>
          </w14:textOutline>
        </w:rPr>
        <w:t xml:space="preserve"> (chart of state laws and rules concerning special masters).</w:t>
      </w:r>
    </w:p>
    <w:p w14:paraId="601A8540" w14:textId="77777777" w:rsidR="002667A4" w:rsidRPr="00CA5982" w:rsidRDefault="002667A4" w:rsidP="002667A4">
      <w:pPr>
        <w:pStyle w:val="Body"/>
        <w:rPr>
          <w:rFonts w:asciiTheme="minorHAnsi" w:hAnsiTheme="minorHAnsi" w:cs="Times New Roman"/>
          <w:sz w:val="24"/>
          <w:szCs w:val="24"/>
        </w:rPr>
      </w:pPr>
    </w:p>
    <w:p w14:paraId="7476D844" w14:textId="2533A8A5" w:rsidR="002667A4" w:rsidRPr="00CA5982" w:rsidRDefault="002667A4" w:rsidP="00C91358">
      <w:pPr>
        <w:pStyle w:val="Body"/>
        <w:keepNext/>
        <w:rPr>
          <w:rFonts w:asciiTheme="minorHAnsi" w:hAnsiTheme="minorHAnsi" w:cs="Times New Roman"/>
          <w:sz w:val="24"/>
          <w:szCs w:val="24"/>
        </w:rPr>
      </w:pPr>
      <w:r w:rsidRPr="00CA5982">
        <w:rPr>
          <w:rFonts w:asciiTheme="minorHAnsi" w:hAnsiTheme="minorHAnsi" w:cs="Times New Roman"/>
          <w:b/>
          <w:bCs/>
          <w:sz w:val="24"/>
          <w:szCs w:val="24"/>
        </w:rPr>
        <w:t xml:space="preserve">On the uses of special masters </w:t>
      </w:r>
      <w:r w:rsidR="00A03FCC">
        <w:rPr>
          <w:rFonts w:asciiTheme="minorHAnsi" w:hAnsiTheme="minorHAnsi" w:cs="Times New Roman"/>
          <w:b/>
          <w:bCs/>
          <w:sz w:val="24"/>
          <w:szCs w:val="24"/>
        </w:rPr>
        <w:t xml:space="preserve">and other adjuncts </w:t>
      </w:r>
      <w:r w:rsidRPr="00CA5982">
        <w:rPr>
          <w:rFonts w:asciiTheme="minorHAnsi" w:hAnsiTheme="minorHAnsi" w:cs="Times New Roman"/>
          <w:b/>
          <w:bCs/>
          <w:sz w:val="24"/>
          <w:szCs w:val="24"/>
        </w:rPr>
        <w:t>and the philosophy behind their use</w:t>
      </w:r>
      <w:r w:rsidRPr="00CA5982">
        <w:rPr>
          <w:rFonts w:asciiTheme="minorHAnsi" w:hAnsiTheme="minorHAnsi" w:cs="Times New Roman"/>
          <w:sz w:val="24"/>
          <w:szCs w:val="24"/>
        </w:rPr>
        <w:t>:</w:t>
      </w:r>
    </w:p>
    <w:p w14:paraId="0E5397C0" w14:textId="77777777" w:rsidR="002667A4" w:rsidRPr="00CA5982" w:rsidRDefault="002667A4" w:rsidP="002667A4">
      <w:pPr>
        <w:pStyle w:val="Body"/>
        <w:rPr>
          <w:rFonts w:asciiTheme="minorHAnsi" w:hAnsiTheme="minorHAnsi" w:cs="Times New Roman"/>
          <w:sz w:val="24"/>
          <w:szCs w:val="24"/>
        </w:rPr>
      </w:pPr>
    </w:p>
    <w:p w14:paraId="105188F4" w14:textId="77777777" w:rsidR="002667A4" w:rsidRPr="00CA5982" w:rsidRDefault="002667A4" w:rsidP="002667A4">
      <w:pPr>
        <w:pStyle w:val="Body"/>
        <w:rPr>
          <w:rFonts w:asciiTheme="minorHAnsi" w:hAnsiTheme="minorHAnsi"/>
          <w:sz w:val="24"/>
          <w:szCs w:val="24"/>
        </w:rPr>
      </w:pPr>
      <w:r w:rsidRPr="00CA5982">
        <w:rPr>
          <w:rFonts w:asciiTheme="minorHAnsi" w:hAnsiTheme="minorHAnsi"/>
          <w:sz w:val="24"/>
          <w:szCs w:val="24"/>
        </w:rPr>
        <w:t xml:space="preserve">Hon. Shira A. Scheindlin (ret.), “How Courts and Litigants Can Benefit from Special Masters,” available at </w:t>
      </w:r>
      <w:hyperlink r:id="rId11" w:history="1">
        <w:r w:rsidRPr="00CA5982">
          <w:rPr>
            <w:rStyle w:val="Hyperlink"/>
            <w:rFonts w:asciiTheme="minorHAnsi" w:hAnsiTheme="minorHAnsi"/>
            <w:sz w:val="24"/>
            <w:szCs w:val="24"/>
          </w:rPr>
          <w:t>https://www.law360.com/articles/1231761/how-courts-and-litigants-can-benefit-from-special-masters</w:t>
        </w:r>
      </w:hyperlink>
    </w:p>
    <w:p w14:paraId="22FFA959" w14:textId="77777777" w:rsidR="002667A4" w:rsidRPr="00CA5982" w:rsidRDefault="002667A4" w:rsidP="002667A4">
      <w:pPr>
        <w:pStyle w:val="Body"/>
        <w:rPr>
          <w:rFonts w:asciiTheme="minorHAnsi" w:hAnsiTheme="minorHAnsi"/>
          <w:sz w:val="24"/>
          <w:szCs w:val="24"/>
        </w:rPr>
      </w:pPr>
    </w:p>
    <w:p w14:paraId="4510715B" w14:textId="49D97B1D" w:rsidR="002667A4" w:rsidRDefault="002667A4" w:rsidP="002667A4">
      <w:pPr>
        <w:pStyle w:val="Body"/>
        <w:rPr>
          <w:rFonts w:asciiTheme="minorHAnsi" w:hAnsiTheme="minorHAnsi"/>
          <w:sz w:val="24"/>
          <w:szCs w:val="24"/>
        </w:rPr>
      </w:pPr>
      <w:r w:rsidRPr="00CA5982">
        <w:rPr>
          <w:rFonts w:asciiTheme="minorHAnsi" w:hAnsiTheme="minorHAnsi"/>
          <w:sz w:val="24"/>
          <w:szCs w:val="24"/>
        </w:rPr>
        <w:t xml:space="preserve">Merril Hirsh, A Revolution That Doesn’t Offend Anyone: The ABA Guidelines for the Appointment and Use of Special Masters in Civil Litigation, ABA </w:t>
      </w:r>
      <w:r w:rsidRPr="00CA5982">
        <w:rPr>
          <w:rFonts w:asciiTheme="minorHAnsi" w:hAnsiTheme="minorHAnsi"/>
          <w:smallCaps/>
          <w:sz w:val="24"/>
          <w:szCs w:val="24"/>
        </w:rPr>
        <w:t>Judges Journal</w:t>
      </w:r>
      <w:r w:rsidRPr="00CA5982">
        <w:rPr>
          <w:rFonts w:asciiTheme="minorHAnsi" w:hAnsiTheme="minorHAnsi"/>
          <w:sz w:val="24"/>
          <w:szCs w:val="24"/>
        </w:rPr>
        <w:t xml:space="preserve"> 30 (Fall 2019) available at </w:t>
      </w:r>
      <w:hyperlink r:id="rId12" w:history="1">
        <w:r w:rsidRPr="00CA5982">
          <w:rPr>
            <w:rStyle w:val="Hyperlink"/>
            <w:rFonts w:asciiTheme="minorHAnsi" w:hAnsiTheme="minorHAnsi"/>
            <w:sz w:val="24"/>
            <w:szCs w:val="24"/>
          </w:rPr>
          <w:t>https://merrilhirsh.com/wp-content/uploads/2020/03/ABA-Judges-Journal-Article-on-Special-Master-Guidelines-01088654.pdf</w:t>
        </w:r>
      </w:hyperlink>
      <w:r w:rsidRPr="00CA5982">
        <w:rPr>
          <w:rFonts w:asciiTheme="minorHAnsi" w:hAnsiTheme="minorHAnsi"/>
          <w:sz w:val="24"/>
          <w:szCs w:val="24"/>
        </w:rPr>
        <w:t xml:space="preserve"> </w:t>
      </w:r>
    </w:p>
    <w:p w14:paraId="3754D1B7" w14:textId="4BFE2C93" w:rsidR="00A03FCC" w:rsidRDefault="00A03FCC" w:rsidP="002667A4">
      <w:pPr>
        <w:pStyle w:val="Body"/>
        <w:rPr>
          <w:rFonts w:asciiTheme="minorHAnsi" w:hAnsiTheme="minorHAnsi"/>
          <w:sz w:val="24"/>
          <w:szCs w:val="24"/>
        </w:rPr>
      </w:pPr>
    </w:p>
    <w:p w14:paraId="7100EE19" w14:textId="65DFCCF4" w:rsidR="00A03FCC" w:rsidRPr="00CA5982" w:rsidRDefault="00A03FCC" w:rsidP="002667A4">
      <w:pPr>
        <w:pStyle w:val="Body"/>
        <w:rPr>
          <w:rFonts w:asciiTheme="minorHAnsi" w:eastAsia="Times New Roman" w:hAnsiTheme="minorHAnsi" w:cs="Times New Roman"/>
          <w:sz w:val="24"/>
          <w:szCs w:val="24"/>
        </w:rPr>
      </w:pPr>
      <w:r w:rsidRPr="00A03FCC">
        <w:rPr>
          <w:rFonts w:asciiTheme="minorHAnsi" w:eastAsia="Times New Roman" w:hAnsiTheme="minorHAnsi" w:cs="Times New Roman"/>
          <w:sz w:val="24"/>
          <w:szCs w:val="24"/>
        </w:rPr>
        <w:t xml:space="preserve">Nancy A. Welsh, Magistrate Judges, Settlement and Procedural Justice, 16 </w:t>
      </w:r>
      <w:r w:rsidRPr="00A03FCC">
        <w:rPr>
          <w:rFonts w:asciiTheme="minorHAnsi" w:eastAsia="Times New Roman" w:hAnsiTheme="minorHAnsi" w:cs="Times New Roman"/>
          <w:smallCaps/>
          <w:sz w:val="24"/>
          <w:szCs w:val="24"/>
        </w:rPr>
        <w:t>Nevada Law Journal</w:t>
      </w:r>
      <w:r w:rsidRPr="00A03FCC">
        <w:rPr>
          <w:rFonts w:asciiTheme="minorHAnsi" w:eastAsia="Times New Roman" w:hAnsiTheme="minorHAnsi" w:cs="Times New Roman"/>
          <w:sz w:val="24"/>
          <w:szCs w:val="24"/>
        </w:rPr>
        <w:t xml:space="preserve"> 983 (2016) and Nancy A. Welsh, Donna Stienstra &amp; Bobbi McAdoo, The Application of Procedural Justice Research to Judicial Actions and Techniques in Settlement Sessions, in </w:t>
      </w:r>
      <w:r w:rsidRPr="00A03FCC">
        <w:rPr>
          <w:rFonts w:asciiTheme="minorHAnsi" w:eastAsia="Times New Roman" w:hAnsiTheme="minorHAnsi" w:cs="Times New Roman"/>
          <w:smallCaps/>
          <w:sz w:val="24"/>
          <w:szCs w:val="24"/>
        </w:rPr>
        <w:t xml:space="preserve">The Multi-Tasking Judge: Comparative Judicial Dispute Resolution </w:t>
      </w:r>
      <w:r w:rsidRPr="00A03FCC">
        <w:rPr>
          <w:rFonts w:asciiTheme="minorHAnsi" w:eastAsia="Times New Roman" w:hAnsiTheme="minorHAnsi" w:cs="Times New Roman"/>
          <w:sz w:val="24"/>
          <w:szCs w:val="24"/>
        </w:rPr>
        <w:t>(Tania Sourdin and Archie Zariski, eds., 2013).</w:t>
      </w:r>
    </w:p>
    <w:p w14:paraId="1F4AEA41" w14:textId="02975137" w:rsidR="002667A4" w:rsidRPr="00CA5982" w:rsidRDefault="002667A4" w:rsidP="002667A4">
      <w:pPr>
        <w:pStyle w:val="Body"/>
        <w:rPr>
          <w:rFonts w:asciiTheme="minorHAnsi" w:eastAsia="Times New Roman" w:hAnsiTheme="minorHAnsi" w:cs="Times New Roman"/>
          <w:sz w:val="24"/>
          <w:szCs w:val="24"/>
        </w:rPr>
      </w:pPr>
    </w:p>
    <w:p w14:paraId="1B911762" w14:textId="43C1B1D3" w:rsidR="00CA5982" w:rsidRPr="001F6D7B" w:rsidRDefault="00CA5982" w:rsidP="002667A4">
      <w:pPr>
        <w:pStyle w:val="Body"/>
        <w:rPr>
          <w:rFonts w:asciiTheme="minorHAnsi" w:eastAsia="Times New Roman" w:hAnsiTheme="minorHAnsi" w:cs="Times New Roman"/>
          <w:b/>
          <w:bCs/>
          <w:sz w:val="24"/>
          <w:szCs w:val="24"/>
        </w:rPr>
      </w:pPr>
      <w:r w:rsidRPr="001F6D7B">
        <w:rPr>
          <w:rFonts w:asciiTheme="minorHAnsi" w:eastAsia="Times New Roman" w:hAnsiTheme="minorHAnsi" w:cs="Times New Roman"/>
          <w:b/>
          <w:bCs/>
          <w:sz w:val="24"/>
          <w:szCs w:val="24"/>
        </w:rPr>
        <w:t>On Ethics for Special Masters</w:t>
      </w:r>
    </w:p>
    <w:p w14:paraId="78CFD66C" w14:textId="5861E737" w:rsidR="001F6D7B" w:rsidRPr="001F6D7B" w:rsidRDefault="001F6D7B" w:rsidP="002667A4">
      <w:pPr>
        <w:pStyle w:val="Body"/>
        <w:rPr>
          <w:rFonts w:asciiTheme="minorHAnsi" w:eastAsia="Times New Roman" w:hAnsiTheme="minorHAnsi" w:cs="Times New Roman"/>
          <w:b/>
          <w:bCs/>
          <w:sz w:val="24"/>
          <w:szCs w:val="24"/>
        </w:rPr>
      </w:pPr>
    </w:p>
    <w:p w14:paraId="48126067" w14:textId="2194D8B0" w:rsidR="001F6D7B" w:rsidRPr="001F6D7B" w:rsidRDefault="001F6D7B" w:rsidP="001F6D7B">
      <w:pPr>
        <w:pStyle w:val="CommentText"/>
        <w:rPr>
          <w:rFonts w:asciiTheme="majorHAnsi" w:hAnsiTheme="majorHAnsi"/>
          <w:sz w:val="24"/>
          <w:szCs w:val="24"/>
        </w:rPr>
      </w:pPr>
      <w:r w:rsidRPr="00430AB7">
        <w:rPr>
          <w:rFonts w:asciiTheme="majorHAnsi" w:hAnsiTheme="majorHAnsi"/>
          <w:sz w:val="24"/>
          <w:szCs w:val="24"/>
        </w:rPr>
        <w:t>A</w:t>
      </w:r>
      <w:r w:rsidR="00526795" w:rsidRPr="00526795">
        <w:rPr>
          <w:rFonts w:asciiTheme="majorHAnsi" w:hAnsiTheme="majorHAnsi"/>
          <w:sz w:val="24"/>
          <w:szCs w:val="24"/>
        </w:rPr>
        <w:t xml:space="preserve">cademy of Court Appointed Masters </w:t>
      </w:r>
      <w:r w:rsidRPr="00430AB7">
        <w:rPr>
          <w:rFonts w:asciiTheme="majorHAnsi" w:hAnsiTheme="majorHAnsi"/>
          <w:sz w:val="24"/>
          <w:szCs w:val="24"/>
        </w:rPr>
        <w:t xml:space="preserve">Benchbook </w:t>
      </w:r>
      <w:hyperlink r:id="rId13" w:history="1">
        <w:r w:rsidR="00430AB7" w:rsidRPr="00430AB7">
          <w:rPr>
            <w:rStyle w:val="Hyperlink"/>
            <w:rFonts w:asciiTheme="majorHAnsi" w:hAnsiTheme="majorHAnsi" w:cs="Arial"/>
            <w:sz w:val="24"/>
            <w:szCs w:val="24"/>
          </w:rPr>
          <w:t>https://www.courtappointedmasters.org/acam/assets/File/public/handbook/web_final_acam_benchbook_jan_2020.pdf</w:t>
        </w:r>
      </w:hyperlink>
      <w:r w:rsidR="00430AB7" w:rsidRPr="00430AB7">
        <w:rPr>
          <w:rFonts w:asciiTheme="majorHAnsi" w:hAnsiTheme="majorHAnsi" w:cs="Arial"/>
          <w:sz w:val="24"/>
          <w:szCs w:val="24"/>
        </w:rPr>
        <w:t xml:space="preserve"> </w:t>
      </w:r>
      <w:r w:rsidRPr="001F6D7B">
        <w:rPr>
          <w:rStyle w:val="Hyperlink"/>
          <w:rFonts w:asciiTheme="majorHAnsi" w:eastAsia="Times New Roman" w:hAnsiTheme="majorHAnsi"/>
          <w:sz w:val="24"/>
          <w:szCs w:val="24"/>
          <w:u w:val="none"/>
        </w:rPr>
        <w:t xml:space="preserve"> beginning at 2</w:t>
      </w:r>
      <w:r w:rsidR="00430AB7">
        <w:rPr>
          <w:rStyle w:val="Hyperlink"/>
          <w:rFonts w:asciiTheme="majorHAnsi" w:eastAsia="Times New Roman" w:hAnsiTheme="majorHAnsi"/>
          <w:sz w:val="24"/>
          <w:szCs w:val="24"/>
          <w:u w:val="none"/>
        </w:rPr>
        <w:t>2</w:t>
      </w:r>
      <w:r w:rsidRPr="001F6D7B">
        <w:rPr>
          <w:rStyle w:val="Hyperlink"/>
          <w:rFonts w:asciiTheme="majorHAnsi" w:eastAsia="Times New Roman" w:hAnsiTheme="majorHAnsi"/>
          <w:sz w:val="24"/>
          <w:szCs w:val="24"/>
          <w:u w:val="none"/>
        </w:rPr>
        <w:t>.</w:t>
      </w:r>
    </w:p>
    <w:p w14:paraId="3EF01E18" w14:textId="04093300" w:rsidR="001F6D7B" w:rsidRDefault="001F6D7B" w:rsidP="002667A4">
      <w:pPr>
        <w:pStyle w:val="Body"/>
        <w:rPr>
          <w:rFonts w:asciiTheme="minorHAnsi" w:eastAsia="Times New Roman" w:hAnsiTheme="minorHAnsi" w:cs="Times New Roman"/>
          <w:b/>
          <w:bCs/>
          <w:sz w:val="24"/>
          <w:szCs w:val="24"/>
        </w:rPr>
      </w:pPr>
    </w:p>
    <w:sectPr w:rsidR="001F6D7B">
      <w:headerReference w:type="default" r:id="rId14"/>
      <w:footerReference w:type="defaul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9CC68" w14:textId="77777777" w:rsidR="009821F7" w:rsidRDefault="009821F7">
      <w:r>
        <w:separator/>
      </w:r>
    </w:p>
  </w:endnote>
  <w:endnote w:type="continuationSeparator" w:id="0">
    <w:p w14:paraId="43711D31" w14:textId="77777777" w:rsidR="009821F7" w:rsidRDefault="0098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29EC1" w14:textId="77777777" w:rsidR="004F429A" w:rsidRDefault="004F4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BE2B4" w14:textId="77777777" w:rsidR="009821F7" w:rsidRDefault="009821F7">
      <w:r>
        <w:separator/>
      </w:r>
    </w:p>
  </w:footnote>
  <w:footnote w:type="continuationSeparator" w:id="0">
    <w:p w14:paraId="20C67246" w14:textId="77777777" w:rsidR="009821F7" w:rsidRDefault="00982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9F2FB" w14:textId="77777777" w:rsidR="004F429A" w:rsidRDefault="004F42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C7B20"/>
    <w:multiLevelType w:val="hybridMultilevel"/>
    <w:tmpl w:val="5BBC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29A"/>
    <w:rsid w:val="000835DF"/>
    <w:rsid w:val="000F3E6D"/>
    <w:rsid w:val="001226C7"/>
    <w:rsid w:val="0016442D"/>
    <w:rsid w:val="0019432B"/>
    <w:rsid w:val="001F6D7B"/>
    <w:rsid w:val="002550A8"/>
    <w:rsid w:val="002667A4"/>
    <w:rsid w:val="002C3E46"/>
    <w:rsid w:val="0035673F"/>
    <w:rsid w:val="003F0FD9"/>
    <w:rsid w:val="0041669B"/>
    <w:rsid w:val="00423F2F"/>
    <w:rsid w:val="00430AB7"/>
    <w:rsid w:val="00445DE2"/>
    <w:rsid w:val="004658BB"/>
    <w:rsid w:val="00495327"/>
    <w:rsid w:val="004D2AE8"/>
    <w:rsid w:val="004F429A"/>
    <w:rsid w:val="004F60C7"/>
    <w:rsid w:val="00526795"/>
    <w:rsid w:val="005B22D5"/>
    <w:rsid w:val="005C7456"/>
    <w:rsid w:val="006E09E5"/>
    <w:rsid w:val="00761D31"/>
    <w:rsid w:val="007657D4"/>
    <w:rsid w:val="007B528E"/>
    <w:rsid w:val="00851B96"/>
    <w:rsid w:val="008B54AF"/>
    <w:rsid w:val="0090142D"/>
    <w:rsid w:val="00936119"/>
    <w:rsid w:val="00971088"/>
    <w:rsid w:val="009821F7"/>
    <w:rsid w:val="009C6FFB"/>
    <w:rsid w:val="009E635D"/>
    <w:rsid w:val="00A03FCC"/>
    <w:rsid w:val="00B407FC"/>
    <w:rsid w:val="00B73723"/>
    <w:rsid w:val="00B804CC"/>
    <w:rsid w:val="00C165C1"/>
    <w:rsid w:val="00C71DF3"/>
    <w:rsid w:val="00C91358"/>
    <w:rsid w:val="00C97714"/>
    <w:rsid w:val="00CA5982"/>
    <w:rsid w:val="00D44502"/>
    <w:rsid w:val="00D73EAF"/>
    <w:rsid w:val="00DD209B"/>
    <w:rsid w:val="00E024E2"/>
    <w:rsid w:val="00E21B87"/>
    <w:rsid w:val="00E37ED9"/>
    <w:rsid w:val="00E57054"/>
    <w:rsid w:val="00EC7406"/>
    <w:rsid w:val="00F3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2B2A"/>
  <w15:docId w15:val="{9280189B-A930-4C3C-873D-3AE76F2A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B804CC"/>
    <w:rPr>
      <w:sz w:val="16"/>
      <w:szCs w:val="16"/>
    </w:rPr>
  </w:style>
  <w:style w:type="paragraph" w:styleId="CommentText">
    <w:name w:val="annotation text"/>
    <w:basedOn w:val="Normal"/>
    <w:link w:val="CommentTextChar"/>
    <w:uiPriority w:val="99"/>
    <w:semiHidden/>
    <w:unhideWhenUsed/>
    <w:rsid w:val="00B804CC"/>
    <w:rPr>
      <w:sz w:val="20"/>
      <w:szCs w:val="20"/>
    </w:rPr>
  </w:style>
  <w:style w:type="character" w:customStyle="1" w:styleId="CommentTextChar">
    <w:name w:val="Comment Text Char"/>
    <w:basedOn w:val="DefaultParagraphFont"/>
    <w:link w:val="CommentText"/>
    <w:uiPriority w:val="99"/>
    <w:semiHidden/>
    <w:rsid w:val="00B804CC"/>
  </w:style>
  <w:style w:type="paragraph" w:styleId="CommentSubject">
    <w:name w:val="annotation subject"/>
    <w:basedOn w:val="CommentText"/>
    <w:next w:val="CommentText"/>
    <w:link w:val="CommentSubjectChar"/>
    <w:uiPriority w:val="99"/>
    <w:semiHidden/>
    <w:unhideWhenUsed/>
    <w:rsid w:val="00B804CC"/>
    <w:rPr>
      <w:b/>
      <w:bCs/>
    </w:rPr>
  </w:style>
  <w:style w:type="character" w:customStyle="1" w:styleId="CommentSubjectChar">
    <w:name w:val="Comment Subject Char"/>
    <w:basedOn w:val="CommentTextChar"/>
    <w:link w:val="CommentSubject"/>
    <w:uiPriority w:val="99"/>
    <w:semiHidden/>
    <w:rsid w:val="00B804CC"/>
    <w:rPr>
      <w:b/>
      <w:bCs/>
    </w:rPr>
  </w:style>
  <w:style w:type="paragraph" w:styleId="BalloonText">
    <w:name w:val="Balloon Text"/>
    <w:basedOn w:val="Normal"/>
    <w:link w:val="BalloonTextChar"/>
    <w:uiPriority w:val="99"/>
    <w:semiHidden/>
    <w:unhideWhenUsed/>
    <w:rsid w:val="00B80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4CC"/>
    <w:rPr>
      <w:rFonts w:ascii="Segoe UI" w:hAnsi="Segoe UI" w:cs="Segoe UI"/>
      <w:sz w:val="18"/>
      <w:szCs w:val="18"/>
    </w:rPr>
  </w:style>
  <w:style w:type="character" w:styleId="UnresolvedMention">
    <w:name w:val="Unresolved Mention"/>
    <w:basedOn w:val="DefaultParagraphFont"/>
    <w:uiPriority w:val="99"/>
    <w:semiHidden/>
    <w:unhideWhenUsed/>
    <w:rsid w:val="00E37ED9"/>
    <w:rPr>
      <w:color w:val="605E5C"/>
      <w:shd w:val="clear" w:color="auto" w:fill="E1DFDD"/>
    </w:rPr>
  </w:style>
  <w:style w:type="character" w:styleId="FollowedHyperlink">
    <w:name w:val="FollowedHyperlink"/>
    <w:basedOn w:val="DefaultParagraphFont"/>
    <w:uiPriority w:val="99"/>
    <w:semiHidden/>
    <w:unhideWhenUsed/>
    <w:rsid w:val="00D4450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375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F9CJUvMgQo&amp;list=PLLMMZAktESmQrN3Qd9F5ZHL_5wiAh55ml&amp;index=3&amp;t=0s" TargetMode="External"/><Relationship Id="rId13" Type="http://schemas.openxmlformats.org/officeDocument/2006/relationships/hyperlink" Target="https://www.courtappointedmasters.org/acam/assets/File/public/handbook/web_final_acam_benchbook_jan_2020.pdf" TargetMode="External"/><Relationship Id="rId3" Type="http://schemas.openxmlformats.org/officeDocument/2006/relationships/settings" Target="settings.xml"/><Relationship Id="rId7" Type="http://schemas.openxmlformats.org/officeDocument/2006/relationships/hyperlink" Target="https://www.americanbar.org/content/dam/aba/images/news/2019mymhodres/100.pdf" TargetMode="External"/><Relationship Id="rId12" Type="http://schemas.openxmlformats.org/officeDocument/2006/relationships/hyperlink" Target="https://merrilhirsh.com/wp-content/uploads/2020/03/ABA-Judges-Journal-Article-on-Special-Master-Guidelines-0108865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360.com/articles/1231761/how-courts-and-litigants-can-benefit-from-special-mast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urtappointedmasters.org/acam/assets/File/public/handbook/web_final_acam_benchbook_jan_2020.pdf" TargetMode="External"/><Relationship Id="rId4" Type="http://schemas.openxmlformats.org/officeDocument/2006/relationships/webSettings" Target="webSettings.xml"/><Relationship Id="rId9" Type="http://schemas.openxmlformats.org/officeDocument/2006/relationships/hyperlink" Target="https://www.courtappointedmasters.org/acam/assets/File/public/handbook/web_final_acam_benchbook_jan_2020.pdf"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Merril</dc:creator>
  <cp:lastModifiedBy>Merril Hirsh</cp:lastModifiedBy>
  <cp:revision>4</cp:revision>
  <cp:lastPrinted>2020-04-13T16:11:00Z</cp:lastPrinted>
  <dcterms:created xsi:type="dcterms:W3CDTF">2020-04-13T20:54:00Z</dcterms:created>
  <dcterms:modified xsi:type="dcterms:W3CDTF">2020-04-14T03:19:00Z</dcterms:modified>
</cp:coreProperties>
</file>